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CB" w:rsidRPr="00331CCB" w:rsidRDefault="00331CCB" w:rsidP="00331CCB">
      <w:pPr>
        <w:shd w:val="clear" w:color="auto" w:fill="FFFFFF"/>
        <w:spacing w:before="312" w:after="120" w:line="264" w:lineRule="atLeast"/>
        <w:outlineLvl w:val="1"/>
        <w:rPr>
          <w:rFonts w:ascii="Meiryo" w:eastAsia="Meiryo" w:hAnsi="Meiryo" w:cs="Meiryo"/>
          <w:color w:val="292929"/>
          <w:sz w:val="50"/>
          <w:szCs w:val="50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50"/>
          <w:szCs w:val="50"/>
          <w:lang w:eastAsia="es-ES"/>
        </w:rPr>
        <w:t>Comprensión de los criterios de evaluación</w:t>
      </w:r>
    </w:p>
    <w:tbl>
      <w:tblPr>
        <w:tblpPr w:leftFromText="141" w:rightFromText="141" w:vertAnchor="text" w:horzAnchor="page" w:tblpX="1033" w:tblpY="183"/>
        <w:tblW w:w="10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5"/>
        <w:gridCol w:w="7670"/>
      </w:tblGrid>
      <w:tr w:rsidR="00331CCB" w:rsidRPr="00331CCB" w:rsidTr="00331CCB">
        <w:tc>
          <w:tcPr>
            <w:tcW w:w="30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jc w:val="center"/>
              <w:rPr>
                <w:rFonts w:ascii="Meiryo" w:eastAsia="Meiryo" w:hAnsi="Meiryo" w:cs="Meiryo"/>
                <w:b/>
                <w:bCs/>
                <w:color w:val="666666"/>
                <w:sz w:val="19"/>
                <w:szCs w:val="19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b/>
                <w:bCs/>
                <w:color w:val="666666"/>
                <w:sz w:val="19"/>
                <w:szCs w:val="19"/>
                <w:lang w:eastAsia="es-ES"/>
              </w:rPr>
              <w:t>Criterio</w:t>
            </w:r>
          </w:p>
        </w:tc>
        <w:tc>
          <w:tcPr>
            <w:tcW w:w="76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rPr>
                <w:rFonts w:ascii="Meiryo" w:eastAsia="Meiryo" w:hAnsi="Meiryo" w:cs="Meiryo"/>
                <w:b/>
                <w:bCs/>
                <w:color w:val="666666"/>
                <w:sz w:val="19"/>
                <w:szCs w:val="19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b/>
                <w:bCs/>
                <w:color w:val="666666"/>
                <w:sz w:val="19"/>
                <w:szCs w:val="19"/>
                <w:lang w:eastAsia="es-ES"/>
              </w:rPr>
              <w:t>Aplicación holística</w:t>
            </w:r>
          </w:p>
        </w:tc>
      </w:tr>
      <w:tr w:rsidR="00331CCB" w:rsidRPr="00331CCB" w:rsidTr="00331C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A: Enfoque y método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¿Se ha mantenido el enfoque de la pregunta de investigación durante toda la monografía?</w:t>
            </w:r>
          </w:p>
          <w:p w:rsidR="00331CCB" w:rsidRPr="00331CCB" w:rsidRDefault="00331CCB" w:rsidP="00331C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¿Hay pruebas del uso planificado de métodos y fuentes específicos?</w:t>
            </w:r>
          </w:p>
        </w:tc>
      </w:tr>
      <w:tr w:rsidR="00331CCB" w:rsidRPr="00331CCB" w:rsidTr="00331C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B: Conocimiento y comprensión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¿La terminología y los conceptos usados en toda la monografía son representativos de la asignatura y del área de investigación?</w:t>
            </w:r>
          </w:p>
          <w:p w:rsidR="00331CCB" w:rsidRPr="00331CCB" w:rsidRDefault="00331CCB" w:rsidP="00331C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¿Se utilizan adecuadamente y con confianza en toda la monografía de tal modo que demuestran conocimiento y comprensión?</w:t>
            </w:r>
          </w:p>
        </w:tc>
      </w:tr>
      <w:tr w:rsidR="00331CCB" w:rsidRPr="00331CCB" w:rsidTr="00331C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C: Pensamiento crítico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La pregunta de investigación está relacionada con las pruebas que se presentan?</w:t>
            </w:r>
          </w:p>
          <w:p w:rsidR="00331CCB" w:rsidRPr="00331CCB" w:rsidRDefault="00331CCB" w:rsidP="00331C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¿Los diferentes aspectos de la información o del argumento que se presenta en la monografía están coherentemente conectados entre sí?</w:t>
            </w:r>
          </w:p>
          <w:p w:rsidR="00331CCB" w:rsidRPr="00331CCB" w:rsidRDefault="00331CCB" w:rsidP="00331C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¿El análisis y las conclusiones tienen conexión con las intenciones declaradas de la investigación?</w:t>
            </w:r>
          </w:p>
          <w:p w:rsidR="00331CCB" w:rsidRPr="00331CCB" w:rsidRDefault="00331CCB" w:rsidP="00331CC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¿Hay un hilo claro en el argumento presentado durante toda la monografía?</w:t>
            </w:r>
          </w:p>
        </w:tc>
      </w:tr>
      <w:tr w:rsidR="00331CCB" w:rsidRPr="00331CCB" w:rsidTr="00331CCB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lastRenderedPageBreak/>
              <w:t>D: Presentación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eiryo" w:eastAsia="Meiryo" w:hAnsi="Meiryo" w:cs="Meiryo"/>
                <w:color w:val="292929"/>
                <w:sz w:val="24"/>
                <w:szCs w:val="24"/>
                <w:lang w:eastAsia="es-ES"/>
              </w:rPr>
            </w:pPr>
            <w:r w:rsidRPr="00331CCB">
              <w:rPr>
                <w:rFonts w:ascii="Meiryo" w:eastAsia="Meiryo" w:hAnsi="Meiryo" w:cs="Meiryo" w:hint="eastAsia"/>
                <w:color w:val="292929"/>
                <w:sz w:val="24"/>
                <w:szCs w:val="24"/>
                <w:lang w:eastAsia="es-ES"/>
              </w:rPr>
              <w:t>¿Los aspectos relacionados con el formato son sistemáticos en toda la monografía?</w:t>
            </w:r>
          </w:p>
        </w:tc>
      </w:tr>
    </w:tbl>
    <w:p w:rsidR="00331CCB" w:rsidRPr="00331CCB" w:rsidRDefault="00331CCB" w:rsidP="00331CCB">
      <w:pPr>
        <w:shd w:val="clear" w:color="auto" w:fill="FFFFFF"/>
        <w:spacing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Es importante que tanto los supervisores como los alumnos comprendan los criterios de evaluación y cómo los aplican los examinadores a las monografías.</w:t>
      </w:r>
    </w:p>
    <w:p w:rsidR="00331CCB" w:rsidRPr="00331CCB" w:rsidRDefault="00331CCB" w:rsidP="00331CCB">
      <w:pPr>
        <w:shd w:val="clear" w:color="auto" w:fill="FFFFFF"/>
        <w:spacing w:before="120"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La Monografía es un componente del Programa del Diploma que evalúa de manera externa un examinador del IB. Los examinadores no conocen las calificaciones previstas que otorgan los supervisores; simplemente aplican los criterios de evaluación basándose en lo que tienen frente a ellos: el trabajo de los alumnos.</w:t>
      </w:r>
    </w:p>
    <w:p w:rsidR="00331CCB" w:rsidRPr="00331CCB" w:rsidRDefault="00331CCB" w:rsidP="00331CCB">
      <w:pPr>
        <w:shd w:val="clear" w:color="auto" w:fill="FFFFFF"/>
        <w:spacing w:before="120"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Por ello, es importante que los alumnos demuestren con claridad que cumplen los criterios de evaluación.</w:t>
      </w:r>
    </w:p>
    <w:p w:rsidR="00331CCB" w:rsidRPr="00331CCB" w:rsidRDefault="00331CCB" w:rsidP="00331CCB">
      <w:pPr>
        <w:shd w:val="clear" w:color="auto" w:fill="FFFFFF"/>
        <w:spacing w:before="120"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Los supervisores y los coordinadores deben asegurarse de que los alumnos entiendan desde el principio cómo se los evaluará.</w:t>
      </w:r>
    </w:p>
    <w:p w:rsidR="00331CCB" w:rsidRPr="00331CCB" w:rsidRDefault="00331CCB" w:rsidP="00331CCB">
      <w:pPr>
        <w:shd w:val="clear" w:color="auto" w:fill="FFFFFF"/>
        <w:spacing w:before="120"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Para obtener información detallada sobre de los criterios de evaluación, consulte las siguientes secciones de la </w:t>
      </w:r>
      <w:r w:rsidRPr="00331CCB">
        <w:rPr>
          <w:rFonts w:ascii="Meiryo" w:eastAsia="Meiryo" w:hAnsi="Meiryo" w:cs="Meiryo" w:hint="eastAsia"/>
          <w:i/>
          <w:iCs/>
          <w:color w:val="292929"/>
          <w:sz w:val="24"/>
          <w:szCs w:val="24"/>
          <w:lang w:eastAsia="es-ES"/>
        </w:rPr>
        <w:t>Guía de la Monografía</w:t>
      </w: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:</w:t>
      </w:r>
    </w:p>
    <w:p w:rsidR="00331CCB" w:rsidRPr="00331CCB" w:rsidRDefault="00331CCB" w:rsidP="00331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hyperlink r:id="rId5" w:history="1">
        <w:r w:rsidRPr="00331CCB">
          <w:rPr>
            <w:rFonts w:ascii="Meiryo" w:eastAsia="Meiryo" w:hAnsi="Meiryo" w:cs="Meiryo" w:hint="eastAsia"/>
            <w:color w:val="4A74BB"/>
            <w:sz w:val="24"/>
            <w:szCs w:val="24"/>
            <w:u w:val="single"/>
            <w:lang w:eastAsia="es-ES"/>
          </w:rPr>
          <w:t>Evaluación de la Monografía</w:t>
        </w:r>
      </w:hyperlink>
    </w:p>
    <w:p w:rsidR="00331CCB" w:rsidRPr="00331CCB" w:rsidRDefault="00331CCB" w:rsidP="00331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hyperlink r:id="rId6" w:history="1">
        <w:r w:rsidRPr="00331CCB">
          <w:rPr>
            <w:rFonts w:ascii="Meiryo" w:eastAsia="Meiryo" w:hAnsi="Meiryo" w:cs="Meiryo" w:hint="eastAsia"/>
            <w:color w:val="4A74BB"/>
            <w:sz w:val="24"/>
            <w:szCs w:val="24"/>
            <w:u w:val="single"/>
            <w:lang w:eastAsia="es-ES"/>
          </w:rPr>
          <w:t>Búsqueda del descriptor más adecuado y bandas de puntuación</w:t>
        </w:r>
      </w:hyperlink>
    </w:p>
    <w:p w:rsidR="00331CCB" w:rsidRPr="00331CCB" w:rsidRDefault="00331CCB" w:rsidP="00331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hyperlink r:id="rId7" w:history="1">
        <w:r w:rsidRPr="00331CCB">
          <w:rPr>
            <w:rFonts w:ascii="Meiryo" w:eastAsia="Meiryo" w:hAnsi="Meiryo" w:cs="Meiryo" w:hint="eastAsia"/>
            <w:color w:val="4A74BB"/>
            <w:sz w:val="24"/>
            <w:szCs w:val="24"/>
            <w:u w:val="single"/>
            <w:lang w:eastAsia="es-ES"/>
          </w:rPr>
          <w:t>Desglose de los criterios</w:t>
        </w:r>
      </w:hyperlink>
    </w:p>
    <w:p w:rsidR="00331CCB" w:rsidRPr="00331CCB" w:rsidRDefault="00331CCB" w:rsidP="00331CCB">
      <w:pPr>
        <w:shd w:val="clear" w:color="auto" w:fill="FFFFFF"/>
        <w:spacing w:before="120"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También es útil comprender cómo los criterios de evaluación se consideran de manera holística en toda la monografía. La siguiente tabla presenta algunos ejemplos:</w:t>
      </w:r>
    </w:p>
    <w:p w:rsidR="00331CCB" w:rsidRPr="00331CCB" w:rsidRDefault="00331CCB" w:rsidP="00331CCB">
      <w:pPr>
        <w:shd w:val="clear" w:color="auto" w:fill="FFFFFF"/>
        <w:spacing w:before="240" w:after="120" w:line="264" w:lineRule="atLeast"/>
        <w:outlineLvl w:val="2"/>
        <w:rPr>
          <w:rFonts w:ascii="Meiryo" w:eastAsia="Meiryo" w:hAnsi="Meiryo" w:cs="Meiryo" w:hint="eastAsia"/>
          <w:color w:val="292929"/>
          <w:sz w:val="36"/>
          <w:szCs w:val="36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36"/>
          <w:szCs w:val="36"/>
          <w:lang w:eastAsia="es-ES"/>
        </w:rPr>
        <w:t>Bandas de puntuación</w:t>
      </w:r>
    </w:p>
    <w:p w:rsidR="00331CCB" w:rsidRPr="00331CCB" w:rsidRDefault="00331CCB" w:rsidP="00331CCB">
      <w:pPr>
        <w:shd w:val="clear" w:color="auto" w:fill="FFFFFF"/>
        <w:spacing w:after="120" w:line="240" w:lineRule="auto"/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</w:pP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Cada criterio se organiza en tres niveles de información. Primero, la </w:t>
      </w:r>
      <w:r w:rsidRPr="00331CCB">
        <w:rPr>
          <w:rFonts w:ascii="Meiryo" w:eastAsia="Meiryo" w:hAnsi="Meiryo" w:cs="Meiryo" w:hint="eastAsia"/>
          <w:b/>
          <w:bCs/>
          <w:color w:val="292929"/>
          <w:sz w:val="24"/>
          <w:szCs w:val="24"/>
          <w:lang w:eastAsia="es-ES"/>
        </w:rPr>
        <w:t>banda de puntuación </w:t>
      </w: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 xml:space="preserve">(anteriormente conocida como “banda de </w:t>
      </w: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lastRenderedPageBreak/>
        <w:t>calificación”), que se relaciona con las puntuaciones disponibles; segundo, el</w:t>
      </w:r>
      <w:r w:rsidRPr="00331CCB">
        <w:rPr>
          <w:rFonts w:ascii="Meiryo" w:eastAsia="Meiryo" w:hAnsi="Meiryo" w:cs="Meiryo" w:hint="eastAsia"/>
          <w:b/>
          <w:bCs/>
          <w:color w:val="292929"/>
          <w:sz w:val="24"/>
          <w:szCs w:val="24"/>
          <w:lang w:eastAsia="es-ES"/>
        </w:rPr>
        <w:t> aspecto</w:t>
      </w: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, que se relaciona con lo que se está evaluando; y tercero, los </w:t>
      </w:r>
      <w:r w:rsidRPr="00331CCB">
        <w:rPr>
          <w:rFonts w:ascii="Meiryo" w:eastAsia="Meiryo" w:hAnsi="Meiryo" w:cs="Meiryo" w:hint="eastAsia"/>
          <w:b/>
          <w:bCs/>
          <w:color w:val="292929"/>
          <w:sz w:val="24"/>
          <w:szCs w:val="24"/>
          <w:lang w:eastAsia="es-ES"/>
        </w:rPr>
        <w:t>indicadores</w:t>
      </w:r>
      <w:r w:rsidRPr="00331CCB">
        <w:rPr>
          <w:rFonts w:ascii="Meiryo" w:eastAsia="Meiryo" w:hAnsi="Meiryo" w:cs="Meiryo" w:hint="eastAsia"/>
          <w:color w:val="292929"/>
          <w:sz w:val="24"/>
          <w:szCs w:val="24"/>
          <w:lang w:eastAsia="es-ES"/>
        </w:rPr>
        <w:t>, que son la demostración de los aspectos dentro de una banda de puntuación. Por ejemplo:</w:t>
      </w:r>
    </w:p>
    <w:tbl>
      <w:tblPr>
        <w:tblW w:w="10695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9519"/>
      </w:tblGrid>
      <w:tr w:rsidR="00331CCB" w:rsidRPr="00331CCB" w:rsidTr="00331CCB">
        <w:tc>
          <w:tcPr>
            <w:tcW w:w="12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es-ES"/>
              </w:rPr>
              <w:t>Banda de puntuación</w:t>
            </w:r>
          </w:p>
        </w:tc>
        <w:tc>
          <w:tcPr>
            <w:tcW w:w="94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CECEC"/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b/>
                <w:bCs/>
                <w:color w:val="666666"/>
                <w:sz w:val="19"/>
                <w:szCs w:val="19"/>
                <w:lang w:eastAsia="es-ES"/>
              </w:rPr>
              <w:t>Aspecto</w:t>
            </w:r>
          </w:p>
        </w:tc>
      </w:tr>
      <w:tr w:rsidR="00331CCB" w:rsidRPr="00331CCB" w:rsidTr="00331CCB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1-2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tema se comunica de manera poco clara e incompleta.</w:t>
            </w:r>
          </w:p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 del aspecto</w:t>
            </w:r>
          </w:p>
          <w:p w:rsidR="00331CCB" w:rsidRPr="00331CCB" w:rsidRDefault="00331CCB" w:rsidP="00331C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identificación y explicación del tema son limitadas; el propósito y el enfoque de la investigación son poco claros o no se prestan al tipo de investigación sistemática que requiere una monografía en la asignatura en la que se presenta.</w:t>
            </w:r>
          </w:p>
        </w:tc>
      </w:tr>
      <w:tr w:rsidR="00331CCB" w:rsidRPr="00331CCB" w:rsidTr="00331CCB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331CCB" w:rsidRPr="00331CCB" w:rsidRDefault="00331CCB" w:rsidP="0033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120" w:type="dxa"/>
              <w:left w:w="48" w:type="dxa"/>
              <w:bottom w:w="120" w:type="dxa"/>
              <w:right w:w="168" w:type="dxa"/>
            </w:tcMar>
            <w:hideMark/>
          </w:tcPr>
          <w:p w:rsidR="00331CCB" w:rsidRPr="00331CCB" w:rsidRDefault="00331CCB" w:rsidP="0033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pregunta de investigación se formula, pero se expresa de manera poco clara o demasiado amplia.</w:t>
            </w:r>
          </w:p>
          <w:p w:rsidR="00331CCB" w:rsidRPr="00331CCB" w:rsidRDefault="00331CCB" w:rsidP="00331CCB">
            <w:pPr>
              <w:spacing w:before="120" w:after="120" w:line="240" w:lineRule="auto"/>
              <w:ind w:left="240" w:right="24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Indicadores del aspecto</w:t>
            </w:r>
          </w:p>
          <w:p w:rsidR="00331CCB" w:rsidRPr="00331CCB" w:rsidRDefault="00331CCB" w:rsidP="00331C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pregunta de investigación tiene un alcance demasiado amplio como para tratarla eficazmente dentro del límite de palabras y de los requisitos de la tarea, o no se presta al tipo de investigación sistemática que requiere una monografía en la asignatura en la que se presenta.</w:t>
            </w:r>
          </w:p>
          <w:p w:rsidR="00331CCB" w:rsidRPr="00331CCB" w:rsidRDefault="00331CCB" w:rsidP="00331CC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31CC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 entiende la intención de la pregunta de investigación, pero no está expresada claramente y/o la discusión de la monografía no se centra en ella.</w:t>
            </w:r>
          </w:p>
        </w:tc>
      </w:tr>
    </w:tbl>
    <w:p w:rsidR="001A3870" w:rsidRDefault="00331CCB"/>
    <w:sectPr w:rsidR="001A3870" w:rsidSect="00BA6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65E"/>
    <w:multiLevelType w:val="multilevel"/>
    <w:tmpl w:val="E096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86D76"/>
    <w:multiLevelType w:val="multilevel"/>
    <w:tmpl w:val="1A7A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12097"/>
    <w:multiLevelType w:val="multilevel"/>
    <w:tmpl w:val="EE00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67AF3"/>
    <w:multiLevelType w:val="multilevel"/>
    <w:tmpl w:val="2A80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C6D48"/>
    <w:multiLevelType w:val="multilevel"/>
    <w:tmpl w:val="7548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50647"/>
    <w:multiLevelType w:val="multilevel"/>
    <w:tmpl w:val="F390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A5C7D"/>
    <w:multiLevelType w:val="multilevel"/>
    <w:tmpl w:val="D5F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CCB"/>
    <w:rsid w:val="000F0C35"/>
    <w:rsid w:val="00331CCB"/>
    <w:rsid w:val="00512B3E"/>
    <w:rsid w:val="00651E61"/>
    <w:rsid w:val="006901F7"/>
    <w:rsid w:val="009F2856"/>
    <w:rsid w:val="00A531F3"/>
    <w:rsid w:val="00BA6362"/>
    <w:rsid w:val="00DE15BB"/>
    <w:rsid w:val="00E6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362"/>
  </w:style>
  <w:style w:type="paragraph" w:styleId="Ttulo2">
    <w:name w:val="heading 2"/>
    <w:basedOn w:val="Normal"/>
    <w:link w:val="Ttulo2Car"/>
    <w:uiPriority w:val="9"/>
    <w:qFormat/>
    <w:rsid w:val="00331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31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31CC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31C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33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31CCB"/>
  </w:style>
  <w:style w:type="character" w:styleId="nfasis">
    <w:name w:val="Emphasis"/>
    <w:basedOn w:val="Fuentedeprrafopredeter"/>
    <w:uiPriority w:val="20"/>
    <w:qFormat/>
    <w:rsid w:val="00331CC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31C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31CCB"/>
    <w:rPr>
      <w:b/>
      <w:bCs/>
    </w:rPr>
  </w:style>
  <w:style w:type="paragraph" w:customStyle="1" w:styleId="tableheader">
    <w:name w:val="tableheader"/>
    <w:basedOn w:val="Normal"/>
    <w:rsid w:val="0033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bpublishing.ibo.org/extendedessay/apps/dpapp/guide.html?doc=d_0_eeyyy_gui_1602_1_s&amp;part=6&amp;chapter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publishing.ibo.org/extendedessay/apps/dpapp/guide.html?doc=d_0_eeyyy_gui_1602_1_s&amp;part=6&amp;chapter=5" TargetMode="External"/><Relationship Id="rId5" Type="http://schemas.openxmlformats.org/officeDocument/2006/relationships/hyperlink" Target="https://ibpublishing.ibo.org/extendedessay/apps/dpapp/guide.html?doc=d_0_eeyyy_gui_1602_1_s&amp;part=6&amp;chapter=6&amp;section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3245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Domínguez</dc:creator>
  <cp:keywords/>
  <dc:description/>
  <cp:lastModifiedBy>Familia Domínguez</cp:lastModifiedBy>
  <cp:revision>2</cp:revision>
  <dcterms:created xsi:type="dcterms:W3CDTF">2017-02-14T17:58:00Z</dcterms:created>
  <dcterms:modified xsi:type="dcterms:W3CDTF">2017-02-14T17:59:00Z</dcterms:modified>
</cp:coreProperties>
</file>