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E3F" w:rsidRPr="00EA2E3F" w:rsidRDefault="00EA2E3F" w:rsidP="00EA2E3F">
      <w:pPr>
        <w:shd w:val="clear" w:color="auto" w:fill="FFFFFF"/>
        <w:spacing w:before="312" w:after="120" w:line="264" w:lineRule="atLeast"/>
        <w:outlineLvl w:val="1"/>
        <w:rPr>
          <w:rFonts w:ascii="Meiryo" w:eastAsia="Meiryo" w:hAnsi="Meiryo" w:cs="Meiryo"/>
          <w:color w:val="292929"/>
          <w:sz w:val="50"/>
          <w:szCs w:val="50"/>
          <w:lang w:eastAsia="es-ES"/>
        </w:rPr>
      </w:pPr>
      <w:r w:rsidRPr="00EA2E3F">
        <w:rPr>
          <w:rFonts w:ascii="Meiryo" w:eastAsia="Meiryo" w:hAnsi="Meiryo" w:cs="Meiryo" w:hint="eastAsia"/>
          <w:color w:val="292929"/>
          <w:sz w:val="50"/>
          <w:szCs w:val="50"/>
          <w:lang w:eastAsia="es-ES"/>
        </w:rPr>
        <w:t>Novedades en la Monografía a partir de 2016</w:t>
      </w:r>
    </w:p>
    <w:p w:rsidR="00EA2E3F" w:rsidRPr="00EA2E3F" w:rsidRDefault="00EA2E3F" w:rsidP="00EA2E3F">
      <w:pPr>
        <w:shd w:val="clear" w:color="auto" w:fill="FFFFFF"/>
        <w:spacing w:after="120" w:line="240" w:lineRule="auto"/>
        <w:rPr>
          <w:rFonts w:ascii="Meiryo" w:eastAsia="Meiryo" w:hAnsi="Meiryo" w:cs="Meiryo" w:hint="eastAsia"/>
          <w:color w:val="292929"/>
          <w:sz w:val="24"/>
          <w:szCs w:val="24"/>
          <w:lang w:eastAsia="es-ES"/>
        </w:rPr>
      </w:pPr>
      <w:r w:rsidRPr="00EA2E3F">
        <w:rPr>
          <w:rFonts w:ascii="Meiryo" w:eastAsia="Meiryo" w:hAnsi="Meiryo" w:cs="Meiryo" w:hint="eastAsia"/>
          <w:color w:val="292929"/>
          <w:sz w:val="24"/>
          <w:szCs w:val="24"/>
          <w:lang w:eastAsia="es-ES"/>
        </w:rPr>
        <w:t>Hay una serie de cambios en la Monografía que representan características clave y que deben entender tanto los coordinadores como los supervisores y los alumnos. Dichos cambios también afectan a las monografías de Estudios del Mundo Contemporáneo. Esos cambios están agrupados de acuerdo con las siguientes áreas:</w:t>
      </w:r>
    </w:p>
    <w:p w:rsidR="00EA2E3F" w:rsidRPr="00EA2E3F" w:rsidRDefault="00EA2E3F" w:rsidP="00EA2E3F">
      <w:pPr>
        <w:numPr>
          <w:ilvl w:val="0"/>
          <w:numId w:val="1"/>
        </w:numPr>
        <w:shd w:val="clear" w:color="auto" w:fill="FFFFFF"/>
        <w:spacing w:before="100" w:beforeAutospacing="1" w:after="100" w:afterAutospacing="1" w:line="240" w:lineRule="auto"/>
        <w:rPr>
          <w:rFonts w:ascii="Meiryo" w:eastAsia="Meiryo" w:hAnsi="Meiryo" w:cs="Meiryo" w:hint="eastAsia"/>
          <w:color w:val="292929"/>
          <w:sz w:val="24"/>
          <w:szCs w:val="24"/>
          <w:lang w:eastAsia="es-ES"/>
        </w:rPr>
      </w:pPr>
      <w:r w:rsidRPr="00EA2E3F">
        <w:rPr>
          <w:rFonts w:ascii="Meiryo" w:eastAsia="Meiryo" w:hAnsi="Meiryo" w:cs="Meiryo" w:hint="eastAsia"/>
          <w:color w:val="292929"/>
          <w:sz w:val="24"/>
          <w:szCs w:val="24"/>
          <w:lang w:eastAsia="es-ES"/>
        </w:rPr>
        <w:t>Implementación del proceso de la Monografía, incluida la supervisión</w:t>
      </w:r>
    </w:p>
    <w:p w:rsidR="00EA2E3F" w:rsidRPr="00EA2E3F" w:rsidRDefault="00EA2E3F" w:rsidP="00EA2E3F">
      <w:pPr>
        <w:numPr>
          <w:ilvl w:val="0"/>
          <w:numId w:val="1"/>
        </w:numPr>
        <w:shd w:val="clear" w:color="auto" w:fill="FFFFFF"/>
        <w:spacing w:before="100" w:beforeAutospacing="1" w:after="100" w:afterAutospacing="1" w:line="240" w:lineRule="auto"/>
        <w:rPr>
          <w:rFonts w:ascii="Meiryo" w:eastAsia="Meiryo" w:hAnsi="Meiryo" w:cs="Meiryo" w:hint="eastAsia"/>
          <w:color w:val="292929"/>
          <w:sz w:val="24"/>
          <w:szCs w:val="24"/>
          <w:lang w:eastAsia="es-ES"/>
        </w:rPr>
      </w:pPr>
      <w:r w:rsidRPr="00EA2E3F">
        <w:rPr>
          <w:rFonts w:ascii="Meiryo" w:eastAsia="Meiryo" w:hAnsi="Meiryo" w:cs="Meiryo" w:hint="eastAsia"/>
          <w:color w:val="292929"/>
          <w:sz w:val="24"/>
          <w:szCs w:val="24"/>
          <w:lang w:eastAsia="es-ES"/>
        </w:rPr>
        <w:t>Presentación y formato de la monografía</w:t>
      </w:r>
    </w:p>
    <w:p w:rsidR="00EA2E3F" w:rsidRPr="00EA2E3F" w:rsidRDefault="00EA2E3F" w:rsidP="00EA2E3F">
      <w:pPr>
        <w:numPr>
          <w:ilvl w:val="0"/>
          <w:numId w:val="1"/>
        </w:numPr>
        <w:shd w:val="clear" w:color="auto" w:fill="FFFFFF"/>
        <w:spacing w:before="100" w:beforeAutospacing="1" w:after="100" w:afterAutospacing="1" w:line="240" w:lineRule="auto"/>
        <w:rPr>
          <w:rFonts w:ascii="Meiryo" w:eastAsia="Meiryo" w:hAnsi="Meiryo" w:cs="Meiryo" w:hint="eastAsia"/>
          <w:color w:val="292929"/>
          <w:sz w:val="24"/>
          <w:szCs w:val="24"/>
          <w:lang w:eastAsia="es-ES"/>
        </w:rPr>
      </w:pPr>
      <w:r w:rsidRPr="00EA2E3F">
        <w:rPr>
          <w:rFonts w:ascii="Meiryo" w:eastAsia="Meiryo" w:hAnsi="Meiryo" w:cs="Meiryo" w:hint="eastAsia"/>
          <w:color w:val="292929"/>
          <w:sz w:val="24"/>
          <w:szCs w:val="24"/>
          <w:lang w:eastAsia="es-ES"/>
        </w:rPr>
        <w:t>Evaluación de la Monografía</w:t>
      </w:r>
    </w:p>
    <w:p w:rsidR="00EA2E3F" w:rsidRPr="00EA2E3F" w:rsidRDefault="00EA2E3F" w:rsidP="00EA2E3F">
      <w:pPr>
        <w:shd w:val="clear" w:color="auto" w:fill="FFFFFF"/>
        <w:spacing w:before="240" w:after="120" w:line="264" w:lineRule="atLeast"/>
        <w:outlineLvl w:val="2"/>
        <w:rPr>
          <w:rFonts w:ascii="Meiryo" w:eastAsia="Meiryo" w:hAnsi="Meiryo" w:cs="Meiryo" w:hint="eastAsia"/>
          <w:color w:val="292929"/>
          <w:sz w:val="36"/>
          <w:szCs w:val="36"/>
          <w:lang w:eastAsia="es-ES"/>
        </w:rPr>
      </w:pPr>
      <w:r w:rsidRPr="00EA2E3F">
        <w:rPr>
          <w:rFonts w:ascii="Meiryo" w:eastAsia="Meiryo" w:hAnsi="Meiryo" w:cs="Meiryo" w:hint="eastAsia"/>
          <w:color w:val="292929"/>
          <w:sz w:val="36"/>
          <w:szCs w:val="36"/>
          <w:lang w:eastAsia="es-ES"/>
        </w:rPr>
        <w:t>Implementación del proceso de la Monografía, incluida la supervisión</w:t>
      </w:r>
    </w:p>
    <w:tbl>
      <w:tblPr>
        <w:tblW w:w="10695" w:type="dxa"/>
        <w:tblInd w:w="-108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281"/>
        <w:gridCol w:w="6414"/>
      </w:tblGrid>
      <w:tr w:rsidR="00EA2E3F" w:rsidRPr="00EA2E3F" w:rsidTr="00EA2E3F">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rsidR="00EA2E3F" w:rsidRPr="00EA2E3F" w:rsidRDefault="00EA2E3F" w:rsidP="00EA2E3F">
            <w:pPr>
              <w:spacing w:before="240" w:after="0" w:line="240" w:lineRule="auto"/>
              <w:rPr>
                <w:rFonts w:ascii="Times New Roman" w:eastAsia="Times New Roman" w:hAnsi="Times New Roman" w:cs="Times New Roman"/>
                <w:b/>
                <w:bCs/>
                <w:color w:val="666666"/>
                <w:sz w:val="19"/>
                <w:szCs w:val="19"/>
                <w:lang w:eastAsia="es-ES"/>
              </w:rPr>
            </w:pPr>
            <w:r w:rsidRPr="00EA2E3F">
              <w:rPr>
                <w:rFonts w:ascii="Times New Roman" w:eastAsia="Times New Roman" w:hAnsi="Times New Roman" w:cs="Times New Roman"/>
                <w:b/>
                <w:bCs/>
                <w:color w:val="666666"/>
                <w:sz w:val="19"/>
                <w:szCs w:val="19"/>
                <w:lang w:eastAsia="es-ES"/>
              </w:rPr>
              <w:t>Característica</w:t>
            </w:r>
          </w:p>
        </w:tc>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rsidR="00EA2E3F" w:rsidRPr="00EA2E3F" w:rsidRDefault="00EA2E3F" w:rsidP="00EA2E3F">
            <w:pPr>
              <w:spacing w:before="240" w:after="0" w:line="240" w:lineRule="auto"/>
              <w:rPr>
                <w:rFonts w:ascii="Times New Roman" w:eastAsia="Times New Roman" w:hAnsi="Times New Roman" w:cs="Times New Roman"/>
                <w:b/>
                <w:bCs/>
                <w:color w:val="666666"/>
                <w:sz w:val="19"/>
                <w:szCs w:val="19"/>
                <w:lang w:eastAsia="es-ES"/>
              </w:rPr>
            </w:pPr>
            <w:r w:rsidRPr="00EA2E3F">
              <w:rPr>
                <w:rFonts w:ascii="Times New Roman" w:eastAsia="Times New Roman" w:hAnsi="Times New Roman" w:cs="Times New Roman"/>
                <w:b/>
                <w:bCs/>
                <w:color w:val="666666"/>
                <w:sz w:val="19"/>
                <w:szCs w:val="19"/>
                <w:lang w:eastAsia="es-ES"/>
              </w:rPr>
              <w:t>Explicación</w:t>
            </w:r>
          </w:p>
        </w:tc>
      </w:tr>
      <w:tr w:rsidR="00EA2E3F" w:rsidRPr="00EA2E3F" w:rsidTr="00EA2E3F">
        <w:tc>
          <w:tcPr>
            <w:tcW w:w="4281"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rsidR="00EA2E3F" w:rsidRPr="00EA2E3F" w:rsidRDefault="00EA2E3F" w:rsidP="00EA2E3F">
            <w:pPr>
              <w:spacing w:before="240" w:after="0" w:line="240" w:lineRule="auto"/>
              <w:rPr>
                <w:rFonts w:ascii="Times New Roman" w:eastAsia="Times New Roman" w:hAnsi="Times New Roman" w:cs="Times New Roman"/>
                <w:sz w:val="24"/>
                <w:szCs w:val="24"/>
                <w:lang w:eastAsia="es-ES"/>
              </w:rPr>
            </w:pPr>
            <w:r w:rsidRPr="00EA2E3F">
              <w:rPr>
                <w:rFonts w:ascii="Times New Roman" w:eastAsia="Times New Roman" w:hAnsi="Times New Roman" w:cs="Times New Roman"/>
                <w:sz w:val="24"/>
                <w:szCs w:val="24"/>
                <w:lang w:eastAsia="es-ES"/>
              </w:rPr>
              <w:t>La reflexión es un elemento obligatorio de la Monografía</w:t>
            </w:r>
          </w:p>
        </w:tc>
        <w:tc>
          <w:tcPr>
            <w:tcW w:w="6414"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rsidR="00EA2E3F" w:rsidRPr="00EA2E3F" w:rsidRDefault="00EA2E3F" w:rsidP="00EA2E3F">
            <w:pPr>
              <w:spacing w:before="120" w:after="120" w:line="240" w:lineRule="auto"/>
              <w:rPr>
                <w:rFonts w:ascii="Times New Roman" w:eastAsia="Times New Roman" w:hAnsi="Times New Roman" w:cs="Times New Roman"/>
                <w:sz w:val="24"/>
                <w:szCs w:val="24"/>
                <w:lang w:eastAsia="es-ES"/>
              </w:rPr>
            </w:pPr>
            <w:r w:rsidRPr="00EA2E3F">
              <w:rPr>
                <w:rFonts w:ascii="Times New Roman" w:eastAsia="Times New Roman" w:hAnsi="Times New Roman" w:cs="Times New Roman"/>
                <w:sz w:val="24"/>
                <w:szCs w:val="24"/>
                <w:lang w:eastAsia="es-ES"/>
              </w:rPr>
              <w:t>La inclusión de la reflexión reconoce que el proceso de realización de la Monografía es importante para el desarrollo de habilidades.</w:t>
            </w:r>
          </w:p>
          <w:p w:rsidR="00EA2E3F" w:rsidRPr="00EA2E3F" w:rsidRDefault="00EA2E3F" w:rsidP="00EA2E3F">
            <w:pPr>
              <w:spacing w:before="120" w:after="120" w:line="240" w:lineRule="auto"/>
              <w:rPr>
                <w:rFonts w:ascii="Times New Roman" w:eastAsia="Times New Roman" w:hAnsi="Times New Roman" w:cs="Times New Roman"/>
                <w:sz w:val="24"/>
                <w:szCs w:val="24"/>
                <w:lang w:eastAsia="es-ES"/>
              </w:rPr>
            </w:pPr>
            <w:r w:rsidRPr="00EA2E3F">
              <w:rPr>
                <w:rFonts w:ascii="Times New Roman" w:eastAsia="Times New Roman" w:hAnsi="Times New Roman" w:cs="Times New Roman"/>
                <w:sz w:val="24"/>
                <w:szCs w:val="24"/>
                <w:lang w:eastAsia="es-ES"/>
              </w:rPr>
              <w:t xml:space="preserve">La reflexión es un aspecto importante del núcleo del modelo del Programa del Diploma, y cada elemento permite un tipo de reflexión diferente. En la Monografía, la reflexión se centra en el progreso de los alumnos durante el proceso de investigación. Tiene por objetivo ayudar a los alumnos con la planificación y finalización de la Monografía, así como darles la oportunidad de considerar la eficacia de sus decisiones, volver a examinar sus ideas y decidir si es necesario realizar cambios para poder completar la tarea. También permite a los alumnos realizar una reflexión más </w:t>
            </w:r>
            <w:proofErr w:type="spellStart"/>
            <w:r w:rsidRPr="00EA2E3F">
              <w:rPr>
                <w:rFonts w:ascii="Times New Roman" w:eastAsia="Times New Roman" w:hAnsi="Times New Roman" w:cs="Times New Roman"/>
                <w:sz w:val="24"/>
                <w:szCs w:val="24"/>
                <w:lang w:eastAsia="es-ES"/>
              </w:rPr>
              <w:t>sumativa</w:t>
            </w:r>
            <w:proofErr w:type="spellEnd"/>
            <w:r w:rsidRPr="00EA2E3F">
              <w:rPr>
                <w:rFonts w:ascii="Times New Roman" w:eastAsia="Times New Roman" w:hAnsi="Times New Roman" w:cs="Times New Roman"/>
                <w:sz w:val="24"/>
                <w:szCs w:val="24"/>
                <w:lang w:eastAsia="es-ES"/>
              </w:rPr>
              <w:t xml:space="preserve"> sobre sus logros y desafíos mientras completan la Monografía.</w:t>
            </w:r>
          </w:p>
          <w:p w:rsidR="00EA2E3F" w:rsidRPr="00EA2E3F" w:rsidRDefault="00EA2E3F" w:rsidP="00EA2E3F">
            <w:pPr>
              <w:spacing w:before="120" w:after="120" w:line="240" w:lineRule="auto"/>
              <w:rPr>
                <w:rFonts w:ascii="Times New Roman" w:eastAsia="Times New Roman" w:hAnsi="Times New Roman" w:cs="Times New Roman"/>
                <w:sz w:val="24"/>
                <w:szCs w:val="24"/>
                <w:lang w:eastAsia="es-ES"/>
              </w:rPr>
            </w:pPr>
            <w:r w:rsidRPr="00EA2E3F">
              <w:rPr>
                <w:rFonts w:ascii="Times New Roman" w:eastAsia="Times New Roman" w:hAnsi="Times New Roman" w:cs="Times New Roman"/>
                <w:sz w:val="24"/>
                <w:szCs w:val="24"/>
                <w:lang w:eastAsia="es-ES"/>
              </w:rPr>
              <w:lastRenderedPageBreak/>
              <w:t>Este es un aspecto evaluado de la Monografía.</w:t>
            </w:r>
          </w:p>
        </w:tc>
      </w:tr>
      <w:tr w:rsidR="00EA2E3F" w:rsidRPr="00EA2E3F" w:rsidTr="00EA2E3F">
        <w:tc>
          <w:tcPr>
            <w:tcW w:w="4281"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rsidR="00EA2E3F" w:rsidRPr="00EA2E3F" w:rsidRDefault="00EA2E3F" w:rsidP="00EA2E3F">
            <w:pPr>
              <w:spacing w:after="0" w:line="240" w:lineRule="auto"/>
              <w:rPr>
                <w:rFonts w:ascii="Times New Roman" w:eastAsia="Times New Roman" w:hAnsi="Times New Roman" w:cs="Times New Roman"/>
                <w:sz w:val="24"/>
                <w:szCs w:val="24"/>
                <w:lang w:eastAsia="es-ES"/>
              </w:rPr>
            </w:pPr>
            <w:r w:rsidRPr="00EA2E3F">
              <w:rPr>
                <w:rFonts w:ascii="Times New Roman" w:eastAsia="Times New Roman" w:hAnsi="Times New Roman" w:cs="Times New Roman"/>
                <w:sz w:val="24"/>
                <w:szCs w:val="24"/>
                <w:lang w:eastAsia="es-ES"/>
              </w:rPr>
              <w:lastRenderedPageBreak/>
              <w:t>Tres sesiones de reflexión obligatorias</w:t>
            </w:r>
          </w:p>
        </w:tc>
        <w:tc>
          <w:tcPr>
            <w:tcW w:w="6414"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rsidR="00EA2E3F" w:rsidRPr="00EA2E3F" w:rsidRDefault="00EA2E3F" w:rsidP="00EA2E3F">
            <w:pPr>
              <w:spacing w:after="0" w:line="240" w:lineRule="auto"/>
              <w:rPr>
                <w:rFonts w:ascii="Times New Roman" w:eastAsia="Times New Roman" w:hAnsi="Times New Roman" w:cs="Times New Roman"/>
                <w:sz w:val="24"/>
                <w:szCs w:val="24"/>
                <w:lang w:eastAsia="es-ES"/>
              </w:rPr>
            </w:pPr>
            <w:r w:rsidRPr="00EA2E3F">
              <w:rPr>
                <w:rFonts w:ascii="Times New Roman" w:eastAsia="Times New Roman" w:hAnsi="Times New Roman" w:cs="Times New Roman"/>
                <w:sz w:val="24"/>
                <w:szCs w:val="24"/>
                <w:lang w:eastAsia="es-ES"/>
              </w:rPr>
              <w:t>Para ayudar a los alumnos en el proceso de realizar una investigación independiente, se les debe asignar un supervisor adecuado. Se recomienda que los alumnos tengan un período de supervisión de entre tres y cinco horas, que deberá incluir las tres sesiones de reflexión obligatorias. </w:t>
            </w:r>
            <w:hyperlink r:id="rId5" w:history="1">
              <w:r w:rsidRPr="00EA2E3F">
                <w:rPr>
                  <w:rFonts w:ascii="Times New Roman" w:eastAsia="Times New Roman" w:hAnsi="Times New Roman" w:cs="Times New Roman"/>
                  <w:color w:val="4A74BB"/>
                  <w:sz w:val="24"/>
                  <w:szCs w:val="24"/>
                  <w:u w:val="single"/>
                  <w:lang w:eastAsia="es-ES"/>
                </w:rPr>
                <w:t>[Más información acerca del proceso de supervisión]</w:t>
              </w:r>
            </w:hyperlink>
            <w:r w:rsidRPr="00EA2E3F">
              <w:rPr>
                <w:rFonts w:ascii="Times New Roman" w:eastAsia="Times New Roman" w:hAnsi="Times New Roman" w:cs="Times New Roman"/>
                <w:sz w:val="24"/>
                <w:szCs w:val="24"/>
                <w:lang w:eastAsia="es-ES"/>
              </w:rPr>
              <w:t>.</w:t>
            </w:r>
          </w:p>
        </w:tc>
      </w:tr>
      <w:tr w:rsidR="00EA2E3F" w:rsidRPr="00EA2E3F" w:rsidTr="00EA2E3F">
        <w:tc>
          <w:tcPr>
            <w:tcW w:w="4281"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rsidR="00EA2E3F" w:rsidRPr="00EA2E3F" w:rsidRDefault="00EA2E3F" w:rsidP="00EA2E3F">
            <w:pPr>
              <w:spacing w:after="0" w:line="240" w:lineRule="auto"/>
              <w:rPr>
                <w:rFonts w:ascii="Times New Roman" w:eastAsia="Times New Roman" w:hAnsi="Times New Roman" w:cs="Times New Roman"/>
                <w:sz w:val="24"/>
                <w:szCs w:val="24"/>
                <w:lang w:eastAsia="es-ES"/>
              </w:rPr>
            </w:pPr>
            <w:r w:rsidRPr="00EA2E3F">
              <w:rPr>
                <w:rFonts w:ascii="Times New Roman" w:eastAsia="Times New Roman" w:hAnsi="Times New Roman" w:cs="Times New Roman"/>
                <w:sz w:val="24"/>
                <w:szCs w:val="24"/>
                <w:lang w:eastAsia="es-ES"/>
              </w:rPr>
              <w:t>Formulario </w:t>
            </w:r>
            <w:hyperlink r:id="rId6" w:history="1">
              <w:r w:rsidRPr="00EA2E3F">
                <w:rPr>
                  <w:rFonts w:ascii="Times New Roman" w:eastAsia="Times New Roman" w:hAnsi="Times New Roman" w:cs="Times New Roman"/>
                  <w:color w:val="4A74BB"/>
                  <w:sz w:val="24"/>
                  <w:szCs w:val="24"/>
                  <w:u w:val="single"/>
                  <w:lang w:eastAsia="es-ES"/>
                </w:rPr>
                <w:t>de reflexión sobre la planificación y el progreso</w:t>
              </w:r>
            </w:hyperlink>
            <w:r w:rsidRPr="00EA2E3F">
              <w:rPr>
                <w:rFonts w:ascii="Times New Roman" w:eastAsia="Times New Roman" w:hAnsi="Times New Roman" w:cs="Times New Roman"/>
                <w:sz w:val="24"/>
                <w:szCs w:val="24"/>
                <w:lang w:eastAsia="es-ES"/>
              </w:rPr>
              <w:t> </w:t>
            </w:r>
          </w:p>
        </w:tc>
        <w:tc>
          <w:tcPr>
            <w:tcW w:w="6414"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rsidR="00EA2E3F" w:rsidRPr="00EA2E3F" w:rsidRDefault="00EA2E3F" w:rsidP="00EA2E3F">
            <w:pPr>
              <w:spacing w:before="120" w:after="120" w:line="240" w:lineRule="auto"/>
              <w:rPr>
                <w:rFonts w:ascii="Times New Roman" w:eastAsia="Times New Roman" w:hAnsi="Times New Roman" w:cs="Times New Roman"/>
                <w:sz w:val="24"/>
                <w:szCs w:val="24"/>
                <w:lang w:eastAsia="es-ES"/>
              </w:rPr>
            </w:pPr>
            <w:r w:rsidRPr="00EA2E3F">
              <w:rPr>
                <w:rFonts w:ascii="Times New Roman" w:eastAsia="Times New Roman" w:hAnsi="Times New Roman" w:cs="Times New Roman"/>
                <w:sz w:val="24"/>
                <w:szCs w:val="24"/>
                <w:lang w:eastAsia="es-ES"/>
              </w:rPr>
              <w:t>Este formulario permite a los examinadores comprender el pensamiento de los alumnos durante todo el proceso de investigación y redacción. Así, permite la aplicación del criterio E: Compromiso.</w:t>
            </w:r>
          </w:p>
          <w:p w:rsidR="00EA2E3F" w:rsidRPr="00EA2E3F" w:rsidRDefault="00EA2E3F" w:rsidP="00EA2E3F">
            <w:pPr>
              <w:spacing w:before="120" w:after="120" w:line="240" w:lineRule="auto"/>
              <w:rPr>
                <w:rFonts w:ascii="Times New Roman" w:eastAsia="Times New Roman" w:hAnsi="Times New Roman" w:cs="Times New Roman"/>
                <w:sz w:val="24"/>
                <w:szCs w:val="24"/>
                <w:lang w:eastAsia="es-ES"/>
              </w:rPr>
            </w:pPr>
            <w:r w:rsidRPr="00EA2E3F">
              <w:rPr>
                <w:rFonts w:ascii="Times New Roman" w:eastAsia="Times New Roman" w:hAnsi="Times New Roman" w:cs="Times New Roman"/>
                <w:sz w:val="24"/>
                <w:szCs w:val="24"/>
                <w:lang w:eastAsia="es-ES"/>
              </w:rPr>
              <w:t xml:space="preserve">Los alumnos deben completarlo después de cada una de sus sesiones de reflexión obligatorias. Los supervisores deben firmarlo tras cada reflexión y al terminar el proceso, después de la entrevista final. A continuación deben escribir su comentario </w:t>
            </w:r>
            <w:proofErr w:type="spellStart"/>
            <w:r w:rsidRPr="00EA2E3F">
              <w:rPr>
                <w:rFonts w:ascii="Times New Roman" w:eastAsia="Times New Roman" w:hAnsi="Times New Roman" w:cs="Times New Roman"/>
                <w:sz w:val="24"/>
                <w:szCs w:val="24"/>
                <w:lang w:eastAsia="es-ES"/>
              </w:rPr>
              <w:t>sumativo</w:t>
            </w:r>
            <w:proofErr w:type="spellEnd"/>
            <w:r w:rsidRPr="00EA2E3F">
              <w:rPr>
                <w:rFonts w:ascii="Times New Roman" w:eastAsia="Times New Roman" w:hAnsi="Times New Roman" w:cs="Times New Roman"/>
                <w:sz w:val="24"/>
                <w:szCs w:val="24"/>
                <w:lang w:eastAsia="es-ES"/>
              </w:rPr>
              <w:t>. El formulario debe enviarse junto con la monografía para su evaluación externa.</w:t>
            </w:r>
          </w:p>
        </w:tc>
      </w:tr>
      <w:tr w:rsidR="00EA2E3F" w:rsidRPr="00EA2E3F" w:rsidTr="00EA2E3F">
        <w:tc>
          <w:tcPr>
            <w:tcW w:w="4281"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rsidR="00EA2E3F" w:rsidRPr="00EA2E3F" w:rsidRDefault="00EA2E3F" w:rsidP="00EA2E3F">
            <w:pPr>
              <w:spacing w:after="0" w:line="240" w:lineRule="auto"/>
              <w:rPr>
                <w:rFonts w:ascii="Times New Roman" w:eastAsia="Times New Roman" w:hAnsi="Times New Roman" w:cs="Times New Roman"/>
                <w:sz w:val="24"/>
                <w:szCs w:val="24"/>
                <w:lang w:eastAsia="es-ES"/>
              </w:rPr>
            </w:pPr>
            <w:r w:rsidRPr="00EA2E3F">
              <w:rPr>
                <w:rFonts w:ascii="Times New Roman" w:eastAsia="Times New Roman" w:hAnsi="Times New Roman" w:cs="Times New Roman"/>
                <w:sz w:val="24"/>
                <w:szCs w:val="24"/>
                <w:lang w:eastAsia="es-ES"/>
              </w:rPr>
              <w:t>Responsabilidades administrativas relacionadas con los cambios en el proceso de supervisión</w:t>
            </w:r>
          </w:p>
        </w:tc>
        <w:tc>
          <w:tcPr>
            <w:tcW w:w="6414"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rsidR="00EA2E3F" w:rsidRPr="00EA2E3F" w:rsidRDefault="00EA2E3F" w:rsidP="00EA2E3F">
            <w:pPr>
              <w:spacing w:before="120" w:after="120" w:line="240" w:lineRule="auto"/>
              <w:rPr>
                <w:rFonts w:ascii="Times New Roman" w:eastAsia="Times New Roman" w:hAnsi="Times New Roman" w:cs="Times New Roman"/>
                <w:sz w:val="24"/>
                <w:szCs w:val="24"/>
                <w:lang w:eastAsia="es-ES"/>
              </w:rPr>
            </w:pPr>
            <w:r w:rsidRPr="00EA2E3F">
              <w:rPr>
                <w:rFonts w:ascii="Times New Roman" w:eastAsia="Times New Roman" w:hAnsi="Times New Roman" w:cs="Times New Roman"/>
                <w:sz w:val="24"/>
                <w:szCs w:val="24"/>
                <w:lang w:eastAsia="es-ES"/>
              </w:rPr>
              <w:t>Requisitos:</w:t>
            </w:r>
          </w:p>
          <w:p w:rsidR="00EA2E3F" w:rsidRPr="00EA2E3F" w:rsidRDefault="00EA2E3F" w:rsidP="00EA2E3F">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EA2E3F">
              <w:rPr>
                <w:rFonts w:ascii="Times New Roman" w:eastAsia="Times New Roman" w:hAnsi="Times New Roman" w:cs="Times New Roman"/>
                <w:sz w:val="24"/>
                <w:szCs w:val="24"/>
                <w:lang w:eastAsia="es-ES"/>
              </w:rPr>
              <w:t>Los colegios deben ofrecer estructuras organizativas que permitan tres sesiones de reflexión obligatorias con el supervisor</w:t>
            </w:r>
          </w:p>
          <w:p w:rsidR="00EA2E3F" w:rsidRPr="00EA2E3F" w:rsidRDefault="00EA2E3F" w:rsidP="00EA2E3F">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EA2E3F">
              <w:rPr>
                <w:rFonts w:ascii="Times New Roman" w:eastAsia="Times New Roman" w:hAnsi="Times New Roman" w:cs="Times New Roman"/>
                <w:sz w:val="24"/>
                <w:szCs w:val="24"/>
                <w:lang w:eastAsia="es-ES"/>
              </w:rPr>
              <w:t>Los coordinadores de la Monografía o del PD deben presentar, explicar y apoyar el proceso de reflexión, y comunicar a los supervisores y a los alumnos la información y las directrices generales y específicas de la asignatura para la Monografía.</w:t>
            </w:r>
          </w:p>
          <w:p w:rsidR="00EA2E3F" w:rsidRPr="00EA2E3F" w:rsidRDefault="00EA2E3F" w:rsidP="00EA2E3F">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EA2E3F">
              <w:rPr>
                <w:rFonts w:ascii="Times New Roman" w:eastAsia="Times New Roman" w:hAnsi="Times New Roman" w:cs="Times New Roman"/>
                <w:sz w:val="24"/>
                <w:szCs w:val="24"/>
                <w:lang w:eastAsia="es-ES"/>
              </w:rPr>
              <w:t>Los coordinadores de la Monografía o del PD deben asegurarse de que el alumno y el supervisor completen y firmen el </w:t>
            </w:r>
            <w:hyperlink r:id="rId7" w:history="1">
              <w:r w:rsidRPr="00EA2E3F">
                <w:rPr>
                  <w:rFonts w:ascii="Times New Roman" w:eastAsia="Times New Roman" w:hAnsi="Times New Roman" w:cs="Times New Roman"/>
                  <w:color w:val="4A74BB"/>
                  <w:sz w:val="24"/>
                  <w:szCs w:val="24"/>
                  <w:u w:val="single"/>
                  <w:lang w:eastAsia="es-ES"/>
                </w:rPr>
                <w:t>formulario de reflexión sobre la planificación y el progreso</w:t>
              </w:r>
            </w:hyperlink>
            <w:r w:rsidRPr="00EA2E3F">
              <w:rPr>
                <w:rFonts w:ascii="Times New Roman" w:eastAsia="Times New Roman" w:hAnsi="Times New Roman" w:cs="Times New Roman"/>
                <w:sz w:val="24"/>
                <w:szCs w:val="24"/>
                <w:lang w:eastAsia="es-ES"/>
              </w:rPr>
              <w:t>, y de que este se envíe al IB junto con la monografía para su evaluación según el criterio E.</w:t>
            </w:r>
          </w:p>
          <w:p w:rsidR="00EA2E3F" w:rsidRPr="00EA2E3F" w:rsidRDefault="00EA2E3F" w:rsidP="00EA2E3F">
            <w:pPr>
              <w:spacing w:before="120" w:after="120" w:line="240" w:lineRule="auto"/>
              <w:rPr>
                <w:rFonts w:ascii="Times New Roman" w:eastAsia="Times New Roman" w:hAnsi="Times New Roman" w:cs="Times New Roman"/>
                <w:sz w:val="24"/>
                <w:szCs w:val="24"/>
                <w:lang w:eastAsia="es-ES"/>
              </w:rPr>
            </w:pPr>
            <w:r w:rsidRPr="00EA2E3F">
              <w:rPr>
                <w:rFonts w:ascii="Times New Roman" w:eastAsia="Times New Roman" w:hAnsi="Times New Roman" w:cs="Times New Roman"/>
                <w:sz w:val="24"/>
                <w:szCs w:val="24"/>
                <w:lang w:eastAsia="es-ES"/>
              </w:rPr>
              <w:t>Se recomienda encarecidamente a los colegios:</w:t>
            </w:r>
          </w:p>
          <w:p w:rsidR="00EA2E3F" w:rsidRPr="00EA2E3F" w:rsidRDefault="00EA2E3F" w:rsidP="00EA2E3F">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EA2E3F">
              <w:rPr>
                <w:rFonts w:ascii="Times New Roman" w:eastAsia="Times New Roman" w:hAnsi="Times New Roman" w:cs="Times New Roman"/>
                <w:sz w:val="24"/>
                <w:szCs w:val="24"/>
                <w:lang w:eastAsia="es-ES"/>
              </w:rPr>
              <w:t>Asegurarse de que se enseñen a los alumnos las habilidades de investigación necesarias, incluidas las relacionadas con la probidad académica y la alfabetización tecnológica, es decir, la habilidad de acceder a la tecnología y usarla de manera responsable, incluido el acceso a fuentes electrónicas y su utilización</w:t>
            </w:r>
          </w:p>
          <w:p w:rsidR="00EA2E3F" w:rsidRPr="00EA2E3F" w:rsidRDefault="00EA2E3F" w:rsidP="00EA2E3F">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EA2E3F">
              <w:rPr>
                <w:rFonts w:ascii="Times New Roman" w:eastAsia="Times New Roman" w:hAnsi="Times New Roman" w:cs="Times New Roman"/>
                <w:sz w:val="24"/>
                <w:szCs w:val="24"/>
                <w:lang w:eastAsia="es-ES"/>
              </w:rPr>
              <w:t>Apoyar la introducción y el uso del </w:t>
            </w:r>
            <w:hyperlink r:id="rId8" w:history="1">
              <w:r w:rsidRPr="00EA2E3F">
                <w:rPr>
                  <w:rFonts w:ascii="Times New Roman" w:eastAsia="Times New Roman" w:hAnsi="Times New Roman" w:cs="Times New Roman"/>
                  <w:color w:val="4A74BB"/>
                  <w:sz w:val="24"/>
                  <w:szCs w:val="24"/>
                  <w:u w:val="single"/>
                  <w:lang w:eastAsia="es-ES"/>
                </w:rPr>
                <w:t xml:space="preserve">espacio de </w:t>
              </w:r>
              <w:proofErr w:type="spellStart"/>
              <w:r w:rsidRPr="00EA2E3F">
                <w:rPr>
                  <w:rFonts w:ascii="Times New Roman" w:eastAsia="Times New Roman" w:hAnsi="Times New Roman" w:cs="Times New Roman"/>
                  <w:color w:val="4A74BB"/>
                  <w:sz w:val="24"/>
                  <w:szCs w:val="24"/>
                  <w:u w:val="single"/>
                  <w:lang w:eastAsia="es-ES"/>
                </w:rPr>
                <w:t>reflexión</w:t>
              </w:r>
            </w:hyperlink>
            <w:r w:rsidRPr="00EA2E3F">
              <w:rPr>
                <w:rFonts w:ascii="Times New Roman" w:eastAsia="Times New Roman" w:hAnsi="Times New Roman" w:cs="Times New Roman"/>
                <w:sz w:val="24"/>
                <w:szCs w:val="24"/>
                <w:lang w:eastAsia="es-ES"/>
              </w:rPr>
              <w:t>como</w:t>
            </w:r>
            <w:proofErr w:type="spellEnd"/>
            <w:r w:rsidRPr="00EA2E3F">
              <w:rPr>
                <w:rFonts w:ascii="Times New Roman" w:eastAsia="Times New Roman" w:hAnsi="Times New Roman" w:cs="Times New Roman"/>
                <w:sz w:val="24"/>
                <w:szCs w:val="24"/>
                <w:lang w:eastAsia="es-ES"/>
              </w:rPr>
              <w:t xml:space="preserve"> parte integral del proceso de la Monografía</w:t>
            </w:r>
          </w:p>
          <w:p w:rsidR="00EA2E3F" w:rsidRPr="00EA2E3F" w:rsidRDefault="00EA2E3F" w:rsidP="00EA2E3F">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EA2E3F">
              <w:rPr>
                <w:rFonts w:ascii="Times New Roman" w:eastAsia="Times New Roman" w:hAnsi="Times New Roman" w:cs="Times New Roman"/>
                <w:sz w:val="24"/>
                <w:szCs w:val="24"/>
                <w:lang w:eastAsia="es-ES"/>
              </w:rPr>
              <w:lastRenderedPageBreak/>
              <w:t>Limitar la cantidad de alumnos asignados a cada supervisor para asegurarse de que se pueda brindar a cada alumno el nivel de supervisión adecuado</w:t>
            </w:r>
          </w:p>
          <w:p w:rsidR="00EA2E3F" w:rsidRPr="00EA2E3F" w:rsidRDefault="00EA2E3F" w:rsidP="00EA2E3F">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EA2E3F">
              <w:rPr>
                <w:rFonts w:ascii="Times New Roman" w:eastAsia="Times New Roman" w:hAnsi="Times New Roman" w:cs="Times New Roman"/>
                <w:sz w:val="24"/>
                <w:szCs w:val="24"/>
                <w:lang w:eastAsia="es-ES"/>
              </w:rPr>
              <w:t>Proporcionar a los supervisores la capacitación y la ayuda continua adecuadas</w:t>
            </w:r>
          </w:p>
        </w:tc>
      </w:tr>
      <w:tr w:rsidR="00EA2E3F" w:rsidRPr="00EA2E3F" w:rsidTr="00EA2E3F">
        <w:tc>
          <w:tcPr>
            <w:tcW w:w="4281"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rsidR="00EA2E3F" w:rsidRPr="00EA2E3F" w:rsidRDefault="00EA2E3F" w:rsidP="00EA2E3F">
            <w:pPr>
              <w:spacing w:after="0" w:line="240" w:lineRule="auto"/>
              <w:rPr>
                <w:rFonts w:ascii="Times New Roman" w:eastAsia="Times New Roman" w:hAnsi="Times New Roman" w:cs="Times New Roman"/>
                <w:sz w:val="24"/>
                <w:szCs w:val="24"/>
                <w:lang w:eastAsia="es-ES"/>
              </w:rPr>
            </w:pPr>
            <w:r w:rsidRPr="00EA2E3F">
              <w:rPr>
                <w:rFonts w:ascii="Times New Roman" w:eastAsia="Times New Roman" w:hAnsi="Times New Roman" w:cs="Times New Roman"/>
                <w:sz w:val="24"/>
                <w:szCs w:val="24"/>
                <w:lang w:eastAsia="es-ES"/>
              </w:rPr>
              <w:lastRenderedPageBreak/>
              <w:t>La función de los mentores externos </w:t>
            </w:r>
          </w:p>
        </w:tc>
        <w:tc>
          <w:tcPr>
            <w:tcW w:w="6414"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rsidR="00EA2E3F" w:rsidRPr="00EA2E3F" w:rsidRDefault="00EA2E3F" w:rsidP="00EA2E3F">
            <w:pPr>
              <w:spacing w:after="0" w:line="240" w:lineRule="auto"/>
              <w:rPr>
                <w:rFonts w:ascii="Times New Roman" w:eastAsia="Times New Roman" w:hAnsi="Times New Roman" w:cs="Times New Roman"/>
                <w:sz w:val="24"/>
                <w:szCs w:val="24"/>
                <w:lang w:eastAsia="es-ES"/>
              </w:rPr>
            </w:pPr>
            <w:r w:rsidRPr="00EA2E3F">
              <w:rPr>
                <w:rFonts w:ascii="Times New Roman" w:eastAsia="Times New Roman" w:hAnsi="Times New Roman" w:cs="Times New Roman"/>
                <w:sz w:val="24"/>
                <w:szCs w:val="24"/>
                <w:lang w:eastAsia="es-ES"/>
              </w:rPr>
              <w:t>Se han aclarado las condiciones en las que se puede trabajar con un mentor externo fuera del colegio. </w:t>
            </w:r>
            <w:hyperlink r:id="rId9" w:history="1">
              <w:r w:rsidRPr="00EA2E3F">
                <w:rPr>
                  <w:rFonts w:ascii="Times New Roman" w:eastAsia="Times New Roman" w:hAnsi="Times New Roman" w:cs="Times New Roman"/>
                  <w:color w:val="4A74BB"/>
                  <w:sz w:val="24"/>
                  <w:szCs w:val="24"/>
                  <w:u w:val="single"/>
                  <w:lang w:eastAsia="es-ES"/>
                </w:rPr>
                <w:t>[Más detalles sobre la función de los mentores externos]</w:t>
              </w:r>
            </w:hyperlink>
            <w:r w:rsidRPr="00EA2E3F">
              <w:rPr>
                <w:rFonts w:ascii="Times New Roman" w:eastAsia="Times New Roman" w:hAnsi="Times New Roman" w:cs="Times New Roman"/>
                <w:sz w:val="24"/>
                <w:szCs w:val="24"/>
                <w:lang w:eastAsia="es-ES"/>
              </w:rPr>
              <w:t>.</w:t>
            </w:r>
          </w:p>
        </w:tc>
      </w:tr>
      <w:tr w:rsidR="00EA2E3F" w:rsidRPr="00EA2E3F" w:rsidTr="00EA2E3F">
        <w:tc>
          <w:tcPr>
            <w:tcW w:w="4281"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rsidR="00EA2E3F" w:rsidRPr="00EA2E3F" w:rsidRDefault="00EA2E3F" w:rsidP="00EA2E3F">
            <w:pPr>
              <w:spacing w:after="0" w:line="240" w:lineRule="auto"/>
              <w:rPr>
                <w:rFonts w:ascii="Times New Roman" w:eastAsia="Times New Roman" w:hAnsi="Times New Roman" w:cs="Times New Roman"/>
                <w:sz w:val="24"/>
                <w:szCs w:val="24"/>
                <w:lang w:eastAsia="es-ES"/>
              </w:rPr>
            </w:pPr>
            <w:r w:rsidRPr="00EA2E3F">
              <w:rPr>
                <w:rFonts w:ascii="Times New Roman" w:eastAsia="Times New Roman" w:hAnsi="Times New Roman" w:cs="Times New Roman"/>
                <w:sz w:val="24"/>
                <w:szCs w:val="24"/>
                <w:lang w:eastAsia="es-ES"/>
              </w:rPr>
              <w:t>El espacio de reflexión </w:t>
            </w:r>
          </w:p>
        </w:tc>
        <w:tc>
          <w:tcPr>
            <w:tcW w:w="6414"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rsidR="00EA2E3F" w:rsidRPr="00EA2E3F" w:rsidRDefault="00EA2E3F" w:rsidP="00EA2E3F">
            <w:pPr>
              <w:spacing w:before="120" w:after="120" w:line="240" w:lineRule="auto"/>
              <w:rPr>
                <w:rFonts w:ascii="Times New Roman" w:eastAsia="Times New Roman" w:hAnsi="Times New Roman" w:cs="Times New Roman"/>
                <w:sz w:val="24"/>
                <w:szCs w:val="24"/>
                <w:lang w:eastAsia="es-ES"/>
              </w:rPr>
            </w:pPr>
            <w:r w:rsidRPr="00EA2E3F">
              <w:rPr>
                <w:rFonts w:ascii="Times New Roman" w:eastAsia="Times New Roman" w:hAnsi="Times New Roman" w:cs="Times New Roman"/>
                <w:sz w:val="24"/>
                <w:szCs w:val="24"/>
                <w:lang w:eastAsia="es-ES"/>
              </w:rPr>
              <w:t>Se recomienda encarecidamente el uso del espacio de reflexión, pues permitirá a los alumnos articular y entender de manera más clara su proceso de toma de decisiones. El espacio de reflexión apoya el aprendizaje, el pensamiento, el análisis crítico y la evaluación, y no solo contribuye al desarrollo de una monografía satisfactoria, sino también al de habilidades y competencias que son útiles más allá del Programa del Diploma.</w:t>
            </w:r>
          </w:p>
          <w:p w:rsidR="00EA2E3F" w:rsidRPr="00EA2E3F" w:rsidRDefault="00EA2E3F" w:rsidP="00EA2E3F">
            <w:pPr>
              <w:spacing w:before="120" w:after="120" w:line="240" w:lineRule="auto"/>
              <w:rPr>
                <w:rFonts w:ascii="Times New Roman" w:eastAsia="Times New Roman" w:hAnsi="Times New Roman" w:cs="Times New Roman"/>
                <w:sz w:val="24"/>
                <w:szCs w:val="24"/>
                <w:lang w:eastAsia="es-ES"/>
              </w:rPr>
            </w:pPr>
            <w:hyperlink r:id="rId10" w:history="1">
              <w:r w:rsidRPr="00EA2E3F">
                <w:rPr>
                  <w:rFonts w:ascii="Times New Roman" w:eastAsia="Times New Roman" w:hAnsi="Times New Roman" w:cs="Times New Roman"/>
                  <w:color w:val="4A74BB"/>
                  <w:sz w:val="24"/>
                  <w:szCs w:val="24"/>
                  <w:u w:val="single"/>
                  <w:lang w:eastAsia="es-ES"/>
                </w:rPr>
                <w:t>[Ejemplos de espacios de alumnos]</w:t>
              </w:r>
            </w:hyperlink>
            <w:r w:rsidRPr="00EA2E3F">
              <w:rPr>
                <w:rFonts w:ascii="Times New Roman" w:eastAsia="Times New Roman" w:hAnsi="Times New Roman" w:cs="Times New Roman"/>
                <w:sz w:val="24"/>
                <w:szCs w:val="24"/>
                <w:lang w:eastAsia="es-ES"/>
              </w:rPr>
              <w:t>.</w:t>
            </w:r>
          </w:p>
        </w:tc>
      </w:tr>
    </w:tbl>
    <w:p w:rsidR="00EA2E3F" w:rsidRPr="00EA2E3F" w:rsidRDefault="00EA2E3F" w:rsidP="00EA2E3F">
      <w:pPr>
        <w:shd w:val="clear" w:color="auto" w:fill="FFFFFF"/>
        <w:spacing w:before="240" w:after="120" w:line="264" w:lineRule="atLeast"/>
        <w:outlineLvl w:val="2"/>
        <w:rPr>
          <w:rFonts w:ascii="Meiryo" w:eastAsia="Meiryo" w:hAnsi="Meiryo" w:cs="Meiryo" w:hint="eastAsia"/>
          <w:color w:val="292929"/>
          <w:sz w:val="36"/>
          <w:szCs w:val="36"/>
          <w:lang w:eastAsia="es-ES"/>
        </w:rPr>
      </w:pPr>
      <w:r w:rsidRPr="00EA2E3F">
        <w:rPr>
          <w:rFonts w:ascii="Meiryo" w:eastAsia="Meiryo" w:hAnsi="Meiryo" w:cs="Meiryo" w:hint="eastAsia"/>
          <w:color w:val="292929"/>
          <w:sz w:val="36"/>
          <w:szCs w:val="36"/>
          <w:lang w:eastAsia="es-ES"/>
        </w:rPr>
        <w:t>Presentación y formato de la monografía</w:t>
      </w:r>
    </w:p>
    <w:tbl>
      <w:tblPr>
        <w:tblW w:w="10695" w:type="dxa"/>
        <w:tblInd w:w="-1081"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281"/>
        <w:gridCol w:w="6414"/>
      </w:tblGrid>
      <w:tr w:rsidR="00EA2E3F" w:rsidRPr="00EA2E3F" w:rsidTr="00EA2E3F">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rsidR="00EA2E3F" w:rsidRPr="00EA2E3F" w:rsidRDefault="00EA2E3F" w:rsidP="00EA2E3F">
            <w:pPr>
              <w:spacing w:before="240" w:after="0" w:line="240" w:lineRule="auto"/>
              <w:rPr>
                <w:rFonts w:ascii="Times New Roman" w:eastAsia="Times New Roman" w:hAnsi="Times New Roman" w:cs="Times New Roman"/>
                <w:b/>
                <w:bCs/>
                <w:color w:val="666666"/>
                <w:sz w:val="19"/>
                <w:szCs w:val="19"/>
                <w:lang w:eastAsia="es-ES"/>
              </w:rPr>
            </w:pPr>
            <w:r w:rsidRPr="00EA2E3F">
              <w:rPr>
                <w:rFonts w:ascii="Times New Roman" w:eastAsia="Times New Roman" w:hAnsi="Times New Roman" w:cs="Times New Roman"/>
                <w:b/>
                <w:bCs/>
                <w:color w:val="666666"/>
                <w:sz w:val="19"/>
                <w:szCs w:val="19"/>
                <w:lang w:eastAsia="es-ES"/>
              </w:rPr>
              <w:t>Característica</w:t>
            </w:r>
          </w:p>
        </w:tc>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rsidR="00EA2E3F" w:rsidRPr="00EA2E3F" w:rsidRDefault="00EA2E3F" w:rsidP="00EA2E3F">
            <w:pPr>
              <w:spacing w:before="240" w:after="0" w:line="240" w:lineRule="auto"/>
              <w:rPr>
                <w:rFonts w:ascii="Times New Roman" w:eastAsia="Times New Roman" w:hAnsi="Times New Roman" w:cs="Times New Roman"/>
                <w:b/>
                <w:bCs/>
                <w:color w:val="666666"/>
                <w:sz w:val="19"/>
                <w:szCs w:val="19"/>
                <w:lang w:eastAsia="es-ES"/>
              </w:rPr>
            </w:pPr>
            <w:r w:rsidRPr="00EA2E3F">
              <w:rPr>
                <w:rFonts w:ascii="Times New Roman" w:eastAsia="Times New Roman" w:hAnsi="Times New Roman" w:cs="Times New Roman"/>
                <w:b/>
                <w:bCs/>
                <w:color w:val="666666"/>
                <w:sz w:val="19"/>
                <w:szCs w:val="19"/>
                <w:lang w:eastAsia="es-ES"/>
              </w:rPr>
              <w:t>Explicación</w:t>
            </w:r>
          </w:p>
        </w:tc>
      </w:tr>
      <w:tr w:rsidR="00EA2E3F" w:rsidRPr="00EA2E3F" w:rsidTr="00EA2E3F">
        <w:tc>
          <w:tcPr>
            <w:tcW w:w="4281"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rsidR="00EA2E3F" w:rsidRPr="00EA2E3F" w:rsidRDefault="00EA2E3F" w:rsidP="00EA2E3F">
            <w:pPr>
              <w:spacing w:before="240" w:after="0" w:line="240" w:lineRule="auto"/>
              <w:rPr>
                <w:rFonts w:ascii="Times New Roman" w:eastAsia="Times New Roman" w:hAnsi="Times New Roman" w:cs="Times New Roman"/>
                <w:sz w:val="24"/>
                <w:szCs w:val="24"/>
                <w:lang w:eastAsia="es-ES"/>
              </w:rPr>
            </w:pPr>
            <w:r w:rsidRPr="00EA2E3F">
              <w:rPr>
                <w:rFonts w:ascii="Times New Roman" w:eastAsia="Times New Roman" w:hAnsi="Times New Roman" w:cs="Times New Roman"/>
                <w:sz w:val="24"/>
                <w:szCs w:val="24"/>
                <w:lang w:eastAsia="es-ES"/>
              </w:rPr>
              <w:t>Ausencia de resumen</w:t>
            </w:r>
          </w:p>
        </w:tc>
        <w:tc>
          <w:tcPr>
            <w:tcW w:w="6414"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rsidR="00EA2E3F" w:rsidRPr="00EA2E3F" w:rsidRDefault="00EA2E3F" w:rsidP="00EA2E3F">
            <w:pPr>
              <w:spacing w:before="240" w:after="0" w:line="240" w:lineRule="auto"/>
              <w:rPr>
                <w:rFonts w:ascii="Times New Roman" w:eastAsia="Times New Roman" w:hAnsi="Times New Roman" w:cs="Times New Roman"/>
                <w:sz w:val="24"/>
                <w:szCs w:val="24"/>
                <w:lang w:eastAsia="es-ES"/>
              </w:rPr>
            </w:pPr>
            <w:r w:rsidRPr="00EA2E3F">
              <w:rPr>
                <w:rFonts w:ascii="Times New Roman" w:eastAsia="Times New Roman" w:hAnsi="Times New Roman" w:cs="Times New Roman"/>
                <w:sz w:val="24"/>
                <w:szCs w:val="24"/>
                <w:lang w:eastAsia="es-ES"/>
              </w:rPr>
              <w:t>El resumen no es un requisito formal de la Monografía. Si bien la Monografía sigue el formato de un trabajo de investigación académica, no es un reflejo absoluto de este tipo de textos. La redacción de resúmenes es una habilidad que los alumnos pueden desarrollar más adelante en sus estudios respectivos.</w:t>
            </w:r>
          </w:p>
        </w:tc>
      </w:tr>
      <w:tr w:rsidR="00EA2E3F" w:rsidRPr="00EA2E3F" w:rsidTr="00EA2E3F">
        <w:tc>
          <w:tcPr>
            <w:tcW w:w="4281"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rsidR="00EA2E3F" w:rsidRPr="00EA2E3F" w:rsidRDefault="00EA2E3F" w:rsidP="00EA2E3F">
            <w:pPr>
              <w:spacing w:before="240" w:after="0" w:line="240" w:lineRule="auto"/>
              <w:rPr>
                <w:rFonts w:ascii="Times New Roman" w:eastAsia="Times New Roman" w:hAnsi="Times New Roman" w:cs="Times New Roman"/>
                <w:sz w:val="24"/>
                <w:szCs w:val="24"/>
                <w:lang w:eastAsia="es-ES"/>
              </w:rPr>
            </w:pPr>
            <w:r w:rsidRPr="00EA2E3F">
              <w:rPr>
                <w:rFonts w:ascii="Times New Roman" w:eastAsia="Times New Roman" w:hAnsi="Times New Roman" w:cs="Times New Roman"/>
                <w:sz w:val="24"/>
                <w:szCs w:val="24"/>
                <w:lang w:eastAsia="es-ES"/>
              </w:rPr>
              <w:t>Todas las preguntas de investigación deben plantearse en forma de pregunta</w:t>
            </w:r>
          </w:p>
        </w:tc>
        <w:tc>
          <w:tcPr>
            <w:tcW w:w="6414"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rsidR="00EA2E3F" w:rsidRPr="00EA2E3F" w:rsidRDefault="00EA2E3F" w:rsidP="00EA2E3F">
            <w:pPr>
              <w:spacing w:before="240" w:after="0" w:line="240" w:lineRule="auto"/>
              <w:rPr>
                <w:rFonts w:ascii="Times New Roman" w:eastAsia="Times New Roman" w:hAnsi="Times New Roman" w:cs="Times New Roman"/>
                <w:sz w:val="24"/>
                <w:szCs w:val="24"/>
                <w:lang w:eastAsia="es-ES"/>
              </w:rPr>
            </w:pPr>
            <w:r w:rsidRPr="00EA2E3F">
              <w:rPr>
                <w:rFonts w:ascii="Times New Roman" w:eastAsia="Times New Roman" w:hAnsi="Times New Roman" w:cs="Times New Roman"/>
                <w:sz w:val="24"/>
                <w:szCs w:val="24"/>
                <w:lang w:eastAsia="es-ES"/>
              </w:rPr>
              <w:t>Esto facilita que los alumnos mantengan el enfoque durante la realización del trabajo y les ayuda a valorar si han respondido a la pregunta de investigación.</w:t>
            </w:r>
          </w:p>
        </w:tc>
      </w:tr>
      <w:tr w:rsidR="00EA2E3F" w:rsidRPr="00EA2E3F" w:rsidTr="00EA2E3F">
        <w:tc>
          <w:tcPr>
            <w:tcW w:w="4281"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rsidR="00EA2E3F" w:rsidRPr="00EA2E3F" w:rsidRDefault="00EA2E3F" w:rsidP="00EA2E3F">
            <w:pPr>
              <w:spacing w:before="240" w:after="0" w:line="240" w:lineRule="auto"/>
              <w:rPr>
                <w:rFonts w:ascii="Times New Roman" w:eastAsia="Times New Roman" w:hAnsi="Times New Roman" w:cs="Times New Roman"/>
                <w:sz w:val="24"/>
                <w:szCs w:val="24"/>
                <w:lang w:eastAsia="es-ES"/>
              </w:rPr>
            </w:pPr>
            <w:r w:rsidRPr="00EA2E3F">
              <w:rPr>
                <w:rFonts w:ascii="Times New Roman" w:eastAsia="Times New Roman" w:hAnsi="Times New Roman" w:cs="Times New Roman"/>
                <w:sz w:val="24"/>
                <w:szCs w:val="24"/>
                <w:lang w:eastAsia="es-ES"/>
              </w:rPr>
              <w:t>No se permiten referencias a fuentes externas u otra información complementaria, y los examinadores no accederán a ellas</w:t>
            </w:r>
          </w:p>
        </w:tc>
        <w:tc>
          <w:tcPr>
            <w:tcW w:w="6414"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rsidR="00EA2E3F" w:rsidRPr="00EA2E3F" w:rsidRDefault="00EA2E3F" w:rsidP="00EA2E3F">
            <w:pPr>
              <w:spacing w:before="240" w:after="0" w:line="240" w:lineRule="auto"/>
              <w:rPr>
                <w:rFonts w:ascii="Times New Roman" w:eastAsia="Times New Roman" w:hAnsi="Times New Roman" w:cs="Times New Roman"/>
                <w:sz w:val="24"/>
                <w:szCs w:val="24"/>
                <w:lang w:eastAsia="es-ES"/>
              </w:rPr>
            </w:pPr>
            <w:r w:rsidRPr="00EA2E3F">
              <w:rPr>
                <w:rFonts w:ascii="Times New Roman" w:eastAsia="Times New Roman" w:hAnsi="Times New Roman" w:cs="Times New Roman"/>
                <w:sz w:val="24"/>
                <w:szCs w:val="24"/>
                <w:lang w:eastAsia="es-ES"/>
              </w:rPr>
              <w:t xml:space="preserve">La Monografía es una entidad en sí misma y cualquier argumento que se plantee debe presentarse en el cuerpo del trabajo. No se permite información complementaria suministrada en forma de CD, DVD o enlaces a fuentes externas como videos de </w:t>
            </w:r>
            <w:proofErr w:type="spellStart"/>
            <w:r w:rsidRPr="00EA2E3F">
              <w:rPr>
                <w:rFonts w:ascii="Times New Roman" w:eastAsia="Times New Roman" w:hAnsi="Times New Roman" w:cs="Times New Roman"/>
                <w:sz w:val="24"/>
                <w:szCs w:val="24"/>
                <w:lang w:eastAsia="es-ES"/>
              </w:rPr>
              <w:t>YouTube</w:t>
            </w:r>
            <w:proofErr w:type="spellEnd"/>
            <w:r w:rsidRPr="00EA2E3F">
              <w:rPr>
                <w:rFonts w:ascii="Times New Roman" w:eastAsia="Times New Roman" w:hAnsi="Times New Roman" w:cs="Times New Roman"/>
                <w:sz w:val="24"/>
                <w:szCs w:val="24"/>
                <w:lang w:eastAsia="es-ES"/>
              </w:rPr>
              <w:t>; los examinadores no se remitirán a ellos en su evaluación del trabajo.</w:t>
            </w:r>
          </w:p>
        </w:tc>
      </w:tr>
      <w:tr w:rsidR="00EA2E3F" w:rsidRPr="00EA2E3F" w:rsidTr="00EA2E3F">
        <w:tc>
          <w:tcPr>
            <w:tcW w:w="4281"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rsidR="00EA2E3F" w:rsidRPr="00EA2E3F" w:rsidRDefault="00EA2E3F" w:rsidP="00EA2E3F">
            <w:pPr>
              <w:spacing w:before="240" w:after="0" w:line="240" w:lineRule="auto"/>
              <w:rPr>
                <w:rFonts w:ascii="Times New Roman" w:eastAsia="Times New Roman" w:hAnsi="Times New Roman" w:cs="Times New Roman"/>
                <w:sz w:val="24"/>
                <w:szCs w:val="24"/>
                <w:lang w:eastAsia="es-ES"/>
              </w:rPr>
            </w:pPr>
            <w:r w:rsidRPr="00EA2E3F">
              <w:rPr>
                <w:rFonts w:ascii="Times New Roman" w:eastAsia="Times New Roman" w:hAnsi="Times New Roman" w:cs="Times New Roman"/>
                <w:sz w:val="24"/>
                <w:szCs w:val="24"/>
                <w:lang w:eastAsia="es-ES"/>
              </w:rPr>
              <w:lastRenderedPageBreak/>
              <w:t>Uso de las notas a pie de página, las notas al final y los apéndices</w:t>
            </w:r>
          </w:p>
        </w:tc>
        <w:tc>
          <w:tcPr>
            <w:tcW w:w="6414"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rsidR="00EA2E3F" w:rsidRPr="00EA2E3F" w:rsidRDefault="00EA2E3F" w:rsidP="00EA2E3F">
            <w:pPr>
              <w:spacing w:before="240" w:after="0" w:line="240" w:lineRule="auto"/>
              <w:rPr>
                <w:rFonts w:ascii="Times New Roman" w:eastAsia="Times New Roman" w:hAnsi="Times New Roman" w:cs="Times New Roman"/>
                <w:sz w:val="24"/>
                <w:szCs w:val="24"/>
                <w:lang w:eastAsia="es-ES"/>
              </w:rPr>
            </w:pPr>
            <w:r w:rsidRPr="00EA2E3F">
              <w:rPr>
                <w:rFonts w:ascii="Times New Roman" w:eastAsia="Times New Roman" w:hAnsi="Times New Roman" w:cs="Times New Roman"/>
                <w:sz w:val="24"/>
                <w:szCs w:val="24"/>
                <w:lang w:eastAsia="es-ES"/>
              </w:rPr>
              <w:t>Estos requisitos están presentes para asegurar la paridad entre las asignaturas y evitar que los alumnos intenten eludir el límite de palabras. </w:t>
            </w:r>
            <w:hyperlink r:id="rId11" w:history="1">
              <w:r w:rsidRPr="00EA2E3F">
                <w:rPr>
                  <w:rFonts w:ascii="Times New Roman" w:eastAsia="Times New Roman" w:hAnsi="Times New Roman" w:cs="Times New Roman"/>
                  <w:color w:val="4A74BB"/>
                  <w:sz w:val="24"/>
                  <w:szCs w:val="24"/>
                  <w:u w:val="single"/>
                  <w:lang w:eastAsia="es-ES"/>
                </w:rPr>
                <w:t>[Más información sobre el uso de notas a pie de página, las notas al final y los apéndices]</w:t>
              </w:r>
            </w:hyperlink>
            <w:r w:rsidRPr="00EA2E3F">
              <w:rPr>
                <w:rFonts w:ascii="Times New Roman" w:eastAsia="Times New Roman" w:hAnsi="Times New Roman" w:cs="Times New Roman"/>
                <w:sz w:val="24"/>
                <w:szCs w:val="24"/>
                <w:lang w:eastAsia="es-ES"/>
              </w:rPr>
              <w:t>.</w:t>
            </w:r>
          </w:p>
        </w:tc>
      </w:tr>
      <w:tr w:rsidR="00EA2E3F" w:rsidRPr="00EA2E3F" w:rsidTr="00EA2E3F">
        <w:tc>
          <w:tcPr>
            <w:tcW w:w="4281"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rsidR="00EA2E3F" w:rsidRPr="00EA2E3F" w:rsidRDefault="00EA2E3F" w:rsidP="00EA2E3F">
            <w:pPr>
              <w:spacing w:before="240" w:after="0" w:line="240" w:lineRule="auto"/>
              <w:rPr>
                <w:rFonts w:ascii="Times New Roman" w:eastAsia="Times New Roman" w:hAnsi="Times New Roman" w:cs="Times New Roman"/>
                <w:sz w:val="24"/>
                <w:szCs w:val="24"/>
                <w:lang w:eastAsia="es-ES"/>
              </w:rPr>
            </w:pPr>
            <w:r w:rsidRPr="00EA2E3F">
              <w:rPr>
                <w:rFonts w:ascii="Times New Roman" w:eastAsia="Times New Roman" w:hAnsi="Times New Roman" w:cs="Times New Roman"/>
                <w:sz w:val="24"/>
                <w:szCs w:val="24"/>
                <w:lang w:eastAsia="es-ES"/>
              </w:rPr>
              <w:t>Formato de la monografía</w:t>
            </w:r>
          </w:p>
        </w:tc>
        <w:tc>
          <w:tcPr>
            <w:tcW w:w="6414"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rsidR="00EA2E3F" w:rsidRPr="00EA2E3F" w:rsidRDefault="00EA2E3F" w:rsidP="00EA2E3F">
            <w:pPr>
              <w:spacing w:before="240" w:after="0" w:line="240" w:lineRule="auto"/>
              <w:rPr>
                <w:rFonts w:ascii="Times New Roman" w:eastAsia="Times New Roman" w:hAnsi="Times New Roman" w:cs="Times New Roman"/>
                <w:sz w:val="24"/>
                <w:szCs w:val="24"/>
                <w:lang w:eastAsia="es-ES"/>
              </w:rPr>
            </w:pPr>
            <w:r w:rsidRPr="00EA2E3F">
              <w:rPr>
                <w:rFonts w:ascii="Times New Roman" w:eastAsia="Times New Roman" w:hAnsi="Times New Roman" w:cs="Times New Roman"/>
                <w:sz w:val="24"/>
                <w:szCs w:val="24"/>
                <w:lang w:eastAsia="es-ES"/>
              </w:rPr>
              <w:t>Los alumnos deben presentar su monografía en un tipo de letra legible de 12 puntos y a doble espacio. Con ello se promueve la idea de que la monografía es un trabajo académico y, como tal, deberá tener un formato adecuado, lo cual incluye la elección del tipo de letra. Esto también ayuda a facilitar la evaluación en pantalla de las monografías.</w:t>
            </w:r>
          </w:p>
        </w:tc>
      </w:tr>
    </w:tbl>
    <w:p w:rsidR="00EA2E3F" w:rsidRPr="00EA2E3F" w:rsidRDefault="00EA2E3F" w:rsidP="00EA2E3F">
      <w:pPr>
        <w:shd w:val="clear" w:color="auto" w:fill="FFFFFF"/>
        <w:spacing w:before="240" w:after="120" w:line="264" w:lineRule="atLeast"/>
        <w:outlineLvl w:val="2"/>
        <w:rPr>
          <w:rFonts w:ascii="Meiryo" w:eastAsia="Meiryo" w:hAnsi="Meiryo" w:cs="Meiryo" w:hint="eastAsia"/>
          <w:color w:val="292929"/>
          <w:sz w:val="36"/>
          <w:szCs w:val="36"/>
          <w:lang w:eastAsia="es-ES"/>
        </w:rPr>
      </w:pPr>
      <w:r w:rsidRPr="00EA2E3F">
        <w:rPr>
          <w:rFonts w:ascii="Meiryo" w:eastAsia="Meiryo" w:hAnsi="Meiryo" w:cs="Meiryo" w:hint="eastAsia"/>
          <w:color w:val="292929"/>
          <w:sz w:val="36"/>
          <w:szCs w:val="36"/>
          <w:lang w:eastAsia="es-ES"/>
        </w:rPr>
        <w:t>Evaluación de la Monografía </w:t>
      </w:r>
    </w:p>
    <w:tbl>
      <w:tblPr>
        <w:tblW w:w="10695" w:type="dxa"/>
        <w:tblInd w:w="-108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281"/>
        <w:gridCol w:w="6414"/>
      </w:tblGrid>
      <w:tr w:rsidR="00EA2E3F" w:rsidRPr="00EA2E3F" w:rsidTr="00EA2E3F">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rsidR="00EA2E3F" w:rsidRPr="00EA2E3F" w:rsidRDefault="00EA2E3F" w:rsidP="00EA2E3F">
            <w:pPr>
              <w:spacing w:before="240" w:after="0" w:line="240" w:lineRule="auto"/>
              <w:rPr>
                <w:rFonts w:ascii="Times New Roman" w:eastAsia="Times New Roman" w:hAnsi="Times New Roman" w:cs="Times New Roman"/>
                <w:b/>
                <w:bCs/>
                <w:color w:val="666666"/>
                <w:sz w:val="19"/>
                <w:szCs w:val="19"/>
                <w:lang w:eastAsia="es-ES"/>
              </w:rPr>
            </w:pPr>
            <w:r w:rsidRPr="00EA2E3F">
              <w:rPr>
                <w:rFonts w:ascii="Times New Roman" w:eastAsia="Times New Roman" w:hAnsi="Times New Roman" w:cs="Times New Roman"/>
                <w:b/>
                <w:bCs/>
                <w:color w:val="666666"/>
                <w:sz w:val="19"/>
                <w:szCs w:val="19"/>
                <w:lang w:eastAsia="es-ES"/>
              </w:rPr>
              <w:t>Característica</w:t>
            </w:r>
          </w:p>
        </w:tc>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rsidR="00EA2E3F" w:rsidRPr="00EA2E3F" w:rsidRDefault="00EA2E3F" w:rsidP="00EA2E3F">
            <w:pPr>
              <w:spacing w:before="240" w:after="0" w:line="240" w:lineRule="auto"/>
              <w:rPr>
                <w:rFonts w:ascii="Times New Roman" w:eastAsia="Times New Roman" w:hAnsi="Times New Roman" w:cs="Times New Roman"/>
                <w:b/>
                <w:bCs/>
                <w:color w:val="666666"/>
                <w:sz w:val="19"/>
                <w:szCs w:val="19"/>
                <w:lang w:eastAsia="es-ES"/>
              </w:rPr>
            </w:pPr>
            <w:r w:rsidRPr="00EA2E3F">
              <w:rPr>
                <w:rFonts w:ascii="Times New Roman" w:eastAsia="Times New Roman" w:hAnsi="Times New Roman" w:cs="Times New Roman"/>
                <w:b/>
                <w:bCs/>
                <w:color w:val="666666"/>
                <w:sz w:val="19"/>
                <w:szCs w:val="19"/>
                <w:lang w:eastAsia="es-ES"/>
              </w:rPr>
              <w:t>Explicación</w:t>
            </w:r>
          </w:p>
        </w:tc>
      </w:tr>
      <w:tr w:rsidR="00EA2E3F" w:rsidRPr="00EA2E3F" w:rsidTr="00EA2E3F">
        <w:tc>
          <w:tcPr>
            <w:tcW w:w="4281"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rsidR="00EA2E3F" w:rsidRPr="00EA2E3F" w:rsidRDefault="00EA2E3F" w:rsidP="00EA2E3F">
            <w:pPr>
              <w:spacing w:before="240" w:after="0" w:line="240" w:lineRule="auto"/>
              <w:rPr>
                <w:rFonts w:ascii="Times New Roman" w:eastAsia="Times New Roman" w:hAnsi="Times New Roman" w:cs="Times New Roman"/>
                <w:sz w:val="24"/>
                <w:szCs w:val="24"/>
                <w:lang w:eastAsia="es-ES"/>
              </w:rPr>
            </w:pPr>
            <w:r w:rsidRPr="00EA2E3F">
              <w:rPr>
                <w:rFonts w:ascii="Times New Roman" w:eastAsia="Times New Roman" w:hAnsi="Times New Roman" w:cs="Times New Roman"/>
                <w:sz w:val="24"/>
                <w:szCs w:val="24"/>
                <w:lang w:eastAsia="es-ES"/>
              </w:rPr>
              <w:t>Cinco criterios de evaluación</w:t>
            </w:r>
          </w:p>
        </w:tc>
        <w:tc>
          <w:tcPr>
            <w:tcW w:w="6414"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rsidR="00EA2E3F" w:rsidRPr="00EA2E3F" w:rsidRDefault="00EA2E3F" w:rsidP="00EA2E3F">
            <w:pPr>
              <w:spacing w:before="240" w:after="0" w:line="240" w:lineRule="auto"/>
              <w:rPr>
                <w:rFonts w:ascii="Times New Roman" w:eastAsia="Times New Roman" w:hAnsi="Times New Roman" w:cs="Times New Roman"/>
                <w:sz w:val="24"/>
                <w:szCs w:val="24"/>
                <w:lang w:eastAsia="es-ES"/>
              </w:rPr>
            </w:pPr>
            <w:r w:rsidRPr="00EA2E3F">
              <w:rPr>
                <w:rFonts w:ascii="Times New Roman" w:eastAsia="Times New Roman" w:hAnsi="Times New Roman" w:cs="Times New Roman"/>
                <w:sz w:val="24"/>
                <w:szCs w:val="24"/>
                <w:lang w:eastAsia="es-ES"/>
              </w:rPr>
              <w:t>En la Monografía hay cinco criterios de evaluación. Cuatro de ellos se aplican a la monografía en sí, y uno al formulario de reflexión sobre la planificación y el progreso. </w:t>
            </w:r>
            <w:hyperlink r:id="rId12" w:history="1">
              <w:r w:rsidRPr="00EA2E3F">
                <w:rPr>
                  <w:rFonts w:ascii="Times New Roman" w:eastAsia="Times New Roman" w:hAnsi="Times New Roman" w:cs="Times New Roman"/>
                  <w:color w:val="4A74BB"/>
                  <w:sz w:val="24"/>
                  <w:szCs w:val="24"/>
                  <w:u w:val="single"/>
                  <w:lang w:eastAsia="es-ES"/>
                </w:rPr>
                <w:t>[Consulte los criterios de evaluación]</w:t>
              </w:r>
            </w:hyperlink>
            <w:r w:rsidRPr="00EA2E3F">
              <w:rPr>
                <w:rFonts w:ascii="Times New Roman" w:eastAsia="Times New Roman" w:hAnsi="Times New Roman" w:cs="Times New Roman"/>
                <w:sz w:val="24"/>
                <w:szCs w:val="24"/>
                <w:lang w:eastAsia="es-ES"/>
              </w:rPr>
              <w:t>.</w:t>
            </w:r>
          </w:p>
        </w:tc>
      </w:tr>
      <w:tr w:rsidR="00EA2E3F" w:rsidRPr="00EA2E3F" w:rsidTr="00EA2E3F">
        <w:tc>
          <w:tcPr>
            <w:tcW w:w="4281"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rsidR="00EA2E3F" w:rsidRPr="00EA2E3F" w:rsidRDefault="00EA2E3F" w:rsidP="00EA2E3F">
            <w:pPr>
              <w:spacing w:before="240" w:after="0" w:line="240" w:lineRule="auto"/>
              <w:rPr>
                <w:rFonts w:ascii="Times New Roman" w:eastAsia="Times New Roman" w:hAnsi="Times New Roman" w:cs="Times New Roman"/>
                <w:sz w:val="24"/>
                <w:szCs w:val="24"/>
                <w:lang w:eastAsia="es-ES"/>
              </w:rPr>
            </w:pPr>
            <w:r w:rsidRPr="00EA2E3F">
              <w:rPr>
                <w:rFonts w:ascii="Times New Roman" w:eastAsia="Times New Roman" w:hAnsi="Times New Roman" w:cs="Times New Roman"/>
                <w:sz w:val="24"/>
                <w:szCs w:val="24"/>
                <w:lang w:eastAsia="es-ES"/>
              </w:rPr>
              <w:t>La búsqueda del descriptor más adecuado en la evaluación de monografías</w:t>
            </w:r>
          </w:p>
        </w:tc>
        <w:tc>
          <w:tcPr>
            <w:tcW w:w="6414"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rsidR="00EA2E3F" w:rsidRPr="00EA2E3F" w:rsidRDefault="00EA2E3F" w:rsidP="00EA2E3F">
            <w:pPr>
              <w:spacing w:before="240" w:after="0" w:line="240" w:lineRule="auto"/>
              <w:rPr>
                <w:rFonts w:ascii="Times New Roman" w:eastAsia="Times New Roman" w:hAnsi="Times New Roman" w:cs="Times New Roman"/>
                <w:sz w:val="24"/>
                <w:szCs w:val="24"/>
                <w:lang w:eastAsia="es-ES"/>
              </w:rPr>
            </w:pPr>
            <w:r w:rsidRPr="00EA2E3F">
              <w:rPr>
                <w:rFonts w:ascii="Times New Roman" w:eastAsia="Times New Roman" w:hAnsi="Times New Roman" w:cs="Times New Roman"/>
                <w:sz w:val="24"/>
                <w:szCs w:val="24"/>
                <w:lang w:eastAsia="es-ES"/>
              </w:rPr>
              <w:t>El propósito es encontrar el descriptor que exprese de la forma más adecuada el nivel de logro alcanzado por el trabajo del alumno. Esto implica que, cuando un trabajo demuestre niveles de logro distintos en los diferentes aspectos de una banda de puntuación, será necesario compensar dichos niveles. La puntuación asignada será aquella que refleje más justamente el logro general respecto a la banda de puntuación. Para conceder una puntuación, no es necesario que se cumplan todos los indicadores de un descriptor de nivel.</w:t>
            </w:r>
          </w:p>
        </w:tc>
      </w:tr>
    </w:tbl>
    <w:p w:rsidR="001A3870" w:rsidRDefault="00EA2E3F"/>
    <w:sectPr w:rsidR="001A3870" w:rsidSect="00BA636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F56B78"/>
    <w:multiLevelType w:val="multilevel"/>
    <w:tmpl w:val="4CA01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D42EAB"/>
    <w:multiLevelType w:val="multilevel"/>
    <w:tmpl w:val="0C04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8B1A7A"/>
    <w:multiLevelType w:val="multilevel"/>
    <w:tmpl w:val="BE680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A2E3F"/>
    <w:rsid w:val="000F0C35"/>
    <w:rsid w:val="00512B3E"/>
    <w:rsid w:val="00651E61"/>
    <w:rsid w:val="006901F7"/>
    <w:rsid w:val="009F2856"/>
    <w:rsid w:val="00A531F3"/>
    <w:rsid w:val="00BA6362"/>
    <w:rsid w:val="00DE15BB"/>
    <w:rsid w:val="00E67CC9"/>
    <w:rsid w:val="00EA2E3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362"/>
  </w:style>
  <w:style w:type="paragraph" w:styleId="Ttulo2">
    <w:name w:val="heading 2"/>
    <w:basedOn w:val="Normal"/>
    <w:link w:val="Ttulo2Car"/>
    <w:uiPriority w:val="9"/>
    <w:qFormat/>
    <w:rsid w:val="00EA2E3F"/>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EA2E3F"/>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A2E3F"/>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EA2E3F"/>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EA2E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ablebody">
    <w:name w:val="tablebody"/>
    <w:basedOn w:val="Normal"/>
    <w:rsid w:val="00EA2E3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EA2E3F"/>
  </w:style>
  <w:style w:type="character" w:styleId="Hipervnculo">
    <w:name w:val="Hyperlink"/>
    <w:basedOn w:val="Fuentedeprrafopredeter"/>
    <w:uiPriority w:val="99"/>
    <w:semiHidden/>
    <w:unhideWhenUsed/>
    <w:rsid w:val="00EA2E3F"/>
    <w:rPr>
      <w:color w:val="0000FF"/>
      <w:u w:val="single"/>
    </w:rPr>
  </w:style>
</w:styles>
</file>

<file path=word/webSettings.xml><?xml version="1.0" encoding="utf-8"?>
<w:webSettings xmlns:r="http://schemas.openxmlformats.org/officeDocument/2006/relationships" xmlns:w="http://schemas.openxmlformats.org/wordprocessingml/2006/main">
  <w:divs>
    <w:div w:id="1205169505">
      <w:bodyDiv w:val="1"/>
      <w:marLeft w:val="0"/>
      <w:marRight w:val="0"/>
      <w:marTop w:val="0"/>
      <w:marBottom w:val="0"/>
      <w:divBdr>
        <w:top w:val="none" w:sz="0" w:space="0" w:color="auto"/>
        <w:left w:val="none" w:sz="0" w:space="0" w:color="auto"/>
        <w:bottom w:val="none" w:sz="0" w:space="0" w:color="auto"/>
        <w:right w:val="none" w:sz="0" w:space="0" w:color="auto"/>
      </w:divBdr>
      <w:divsChild>
        <w:div w:id="1715884676">
          <w:marLeft w:val="0"/>
          <w:marRight w:val="0"/>
          <w:marTop w:val="0"/>
          <w:marBottom w:val="0"/>
          <w:divBdr>
            <w:top w:val="none" w:sz="0" w:space="0" w:color="auto"/>
            <w:left w:val="none" w:sz="0" w:space="0" w:color="auto"/>
            <w:bottom w:val="none" w:sz="0" w:space="0" w:color="auto"/>
            <w:right w:val="none" w:sz="0" w:space="0" w:color="auto"/>
          </w:divBdr>
          <w:divsChild>
            <w:div w:id="451947709">
              <w:marLeft w:val="0"/>
              <w:marRight w:val="0"/>
              <w:marTop w:val="0"/>
              <w:marBottom w:val="1500"/>
              <w:divBdr>
                <w:top w:val="none" w:sz="0" w:space="0" w:color="auto"/>
                <w:left w:val="none" w:sz="0" w:space="0" w:color="auto"/>
                <w:bottom w:val="none" w:sz="0" w:space="0" w:color="auto"/>
                <w:right w:val="none" w:sz="0" w:space="0" w:color="auto"/>
              </w:divBdr>
              <w:divsChild>
                <w:div w:id="376055061">
                  <w:marLeft w:val="0"/>
                  <w:marRight w:val="0"/>
                  <w:marTop w:val="0"/>
                  <w:marBottom w:val="0"/>
                  <w:divBdr>
                    <w:top w:val="none" w:sz="0" w:space="0" w:color="auto"/>
                    <w:left w:val="none" w:sz="0" w:space="0" w:color="auto"/>
                    <w:bottom w:val="none" w:sz="0" w:space="0" w:color="auto"/>
                    <w:right w:val="none" w:sz="0" w:space="0" w:color="auto"/>
                  </w:divBdr>
                  <w:divsChild>
                    <w:div w:id="632752589">
                      <w:marLeft w:val="0"/>
                      <w:marRight w:val="0"/>
                      <w:marTop w:val="0"/>
                      <w:marBottom w:val="0"/>
                      <w:divBdr>
                        <w:top w:val="none" w:sz="0" w:space="0" w:color="auto"/>
                        <w:left w:val="none" w:sz="0" w:space="0" w:color="auto"/>
                        <w:bottom w:val="single" w:sz="6" w:space="31" w:color="D1D1D0"/>
                        <w:right w:val="none" w:sz="0" w:space="0" w:color="auto"/>
                      </w:divBdr>
                      <w:divsChild>
                        <w:div w:id="1555309512">
                          <w:marLeft w:val="0"/>
                          <w:marRight w:val="0"/>
                          <w:marTop w:val="0"/>
                          <w:marBottom w:val="0"/>
                          <w:divBdr>
                            <w:top w:val="none" w:sz="0" w:space="0" w:color="auto"/>
                            <w:left w:val="none" w:sz="0" w:space="0" w:color="auto"/>
                            <w:bottom w:val="none" w:sz="0" w:space="0" w:color="auto"/>
                            <w:right w:val="none" w:sz="0" w:space="0" w:color="auto"/>
                          </w:divBdr>
                        </w:div>
                        <w:div w:id="993222091">
                          <w:marLeft w:val="0"/>
                          <w:marRight w:val="0"/>
                          <w:marTop w:val="0"/>
                          <w:marBottom w:val="0"/>
                          <w:divBdr>
                            <w:top w:val="none" w:sz="0" w:space="0" w:color="auto"/>
                            <w:left w:val="none" w:sz="0" w:space="0" w:color="auto"/>
                            <w:bottom w:val="none" w:sz="0" w:space="0" w:color="auto"/>
                            <w:right w:val="none" w:sz="0" w:space="0" w:color="auto"/>
                          </w:divBdr>
                        </w:div>
                        <w:div w:id="154143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645199">
          <w:marLeft w:val="0"/>
          <w:marRight w:val="0"/>
          <w:marTop w:val="0"/>
          <w:marBottom w:val="0"/>
          <w:divBdr>
            <w:top w:val="none" w:sz="0" w:space="0" w:color="auto"/>
            <w:left w:val="none" w:sz="0" w:space="0" w:color="auto"/>
            <w:bottom w:val="none" w:sz="0" w:space="0" w:color="auto"/>
            <w:right w:val="none" w:sz="0" w:space="0" w:color="auto"/>
          </w:divBdr>
          <w:divsChild>
            <w:div w:id="98453580">
              <w:marLeft w:val="-300"/>
              <w:marRight w:val="-300"/>
              <w:marTop w:val="0"/>
              <w:marBottom w:val="0"/>
              <w:divBdr>
                <w:top w:val="none" w:sz="0" w:space="0" w:color="auto"/>
                <w:left w:val="none" w:sz="0" w:space="0" w:color="auto"/>
                <w:bottom w:val="none" w:sz="0" w:space="0" w:color="auto"/>
                <w:right w:val="none" w:sz="0" w:space="0" w:color="auto"/>
              </w:divBdr>
              <w:divsChild>
                <w:div w:id="1907571145">
                  <w:marLeft w:val="0"/>
                  <w:marRight w:val="0"/>
                  <w:marTop w:val="0"/>
                  <w:marBottom w:val="960"/>
                  <w:divBdr>
                    <w:top w:val="none" w:sz="0" w:space="0" w:color="auto"/>
                    <w:left w:val="none" w:sz="0" w:space="0" w:color="auto"/>
                    <w:bottom w:val="none" w:sz="0" w:space="0" w:color="auto"/>
                    <w:right w:val="none" w:sz="0" w:space="0" w:color="auto"/>
                  </w:divBdr>
                </w:div>
                <w:div w:id="1726290768">
                  <w:marLeft w:val="0"/>
                  <w:marRight w:val="0"/>
                  <w:marTop w:val="0"/>
                  <w:marBottom w:val="960"/>
                  <w:divBdr>
                    <w:top w:val="none" w:sz="0" w:space="0" w:color="auto"/>
                    <w:left w:val="none" w:sz="0" w:space="0" w:color="auto"/>
                    <w:bottom w:val="none" w:sz="0" w:space="0" w:color="auto"/>
                    <w:right w:val="none" w:sz="0" w:space="0" w:color="auto"/>
                  </w:divBdr>
                </w:div>
                <w:div w:id="1647202495">
                  <w:marLeft w:val="0"/>
                  <w:marRight w:val="0"/>
                  <w:marTop w:val="0"/>
                  <w:marBottom w:val="960"/>
                  <w:divBdr>
                    <w:top w:val="none" w:sz="0" w:space="0" w:color="auto"/>
                    <w:left w:val="none" w:sz="0" w:space="0" w:color="auto"/>
                    <w:bottom w:val="none" w:sz="0" w:space="0" w:color="auto"/>
                    <w:right w:val="none" w:sz="0" w:space="0" w:color="auto"/>
                  </w:divBdr>
                </w:div>
                <w:div w:id="1294599645">
                  <w:marLeft w:val="0"/>
                  <w:marRight w:val="0"/>
                  <w:marTop w:val="0"/>
                  <w:marBottom w:val="960"/>
                  <w:divBdr>
                    <w:top w:val="none" w:sz="0" w:space="0" w:color="auto"/>
                    <w:left w:val="none" w:sz="0" w:space="0" w:color="auto"/>
                    <w:bottom w:val="none" w:sz="0" w:space="0" w:color="auto"/>
                    <w:right w:val="none" w:sz="0" w:space="0" w:color="auto"/>
                  </w:divBdr>
                </w:div>
              </w:divsChild>
            </w:div>
          </w:divsChild>
        </w:div>
      </w:divsChild>
    </w:div>
    <w:div w:id="181741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bpublishing.ibo.org/extendedessay/apps/dpapp/guide.html?doc=d_0_eeyyy_gui_1602_1_s&amp;part=3&amp;chapter=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xmltwo.ibo.org/publications/DP/Group0/d_0_eeyyy_gui_1602_1/Forms/RPPF_s.pdf" TargetMode="External"/><Relationship Id="rId12" Type="http://schemas.openxmlformats.org/officeDocument/2006/relationships/hyperlink" Target="https://ibpublishing.ibo.org/extendedessay/apps/dpapp/guide.html?doc=d_0_eeyyy_gui_1602_1_s&amp;part=6&amp;chapter=6&amp;section=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mltwo.ibo.org/publications/DP/Group0/d_0_eeyyy_gui_1602_1/Forms/RPPF_s.pdf" TargetMode="External"/><Relationship Id="rId11" Type="http://schemas.openxmlformats.org/officeDocument/2006/relationships/hyperlink" Target="https://ibpublishing.ibo.org/extendedessay/apps/dpapp/guide.html?doc=d_0_eeyyy_gui_1602_1_s&amp;part=5&amp;chapter=6&amp;section=4" TargetMode="External"/><Relationship Id="rId5" Type="http://schemas.openxmlformats.org/officeDocument/2006/relationships/hyperlink" Target="https://ibpublishing.ibo.org/extendedessay/apps/dpapp/tsm.html?doc=d_0_eeyyy_gui_1602_1_s&amp;part=3&amp;chapter=1&amp;section=2" TargetMode="External"/><Relationship Id="rId10" Type="http://schemas.openxmlformats.org/officeDocument/2006/relationships/hyperlink" Target="https://ibpublishing.ibo.org/extendedessay/apps/dpapp/tsm.html?doc=d_0_eeyyy_gui_1602_1_s&amp;part=3&amp;chapter=3&amp;section=6" TargetMode="External"/><Relationship Id="rId4" Type="http://schemas.openxmlformats.org/officeDocument/2006/relationships/webSettings" Target="webSettings.xml"/><Relationship Id="rId9" Type="http://schemas.openxmlformats.org/officeDocument/2006/relationships/hyperlink" Target="https://ibpublishing.ibo.org/extendedessay/apps/dpapp/tsm.html?doc=d_0_eeyyy_gui_1602_1_s&amp;part=3&amp;chapter=1&amp;section=7"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1264</Words>
  <Characters>6955</Characters>
  <Application>Microsoft Office Word</Application>
  <DocSecurity>0</DocSecurity>
  <Lines>57</Lines>
  <Paragraphs>16</Paragraphs>
  <ScaleCrop>false</ScaleCrop>
  <Company>Hewlett-Packard Company</Company>
  <LinksUpToDate>false</LinksUpToDate>
  <CharactersWithSpaces>8203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 Domínguez</dc:creator>
  <cp:keywords/>
  <dc:description/>
  <cp:lastModifiedBy>Familia Domínguez</cp:lastModifiedBy>
  <cp:revision>2</cp:revision>
  <dcterms:created xsi:type="dcterms:W3CDTF">2017-02-14T18:07:00Z</dcterms:created>
  <dcterms:modified xsi:type="dcterms:W3CDTF">2017-02-14T18:08:00Z</dcterms:modified>
</cp:coreProperties>
</file>